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AF5" w:rsidRPr="008E621A" w:rsidRDefault="00D07AF5" w:rsidP="00D07AF5">
      <w:pPr>
        <w:pStyle w:val="Encabezado"/>
        <w:tabs>
          <w:tab w:val="left" w:pos="284"/>
        </w:tabs>
        <w:ind w:left="567" w:right="91"/>
        <w:rPr>
          <w:rFonts w:ascii="Century Schoolbook L" w:hAnsi="Century Schoolbook L"/>
          <w:b/>
          <w:i/>
          <w:iCs/>
          <w:sz w:val="32"/>
          <w:szCs w:val="32"/>
        </w:rPr>
      </w:pPr>
      <w:r w:rsidRPr="00D317F2">
        <w:rPr>
          <w:b/>
          <w:bCs/>
          <w:noProof/>
          <w:sz w:val="36"/>
          <w:szCs w:val="36"/>
          <w:lang w:val="es-ES" w:eastAsia="es-ES"/>
        </w:rPr>
        <w:drawing>
          <wp:anchor distT="0" distB="0" distL="114300" distR="114300" simplePos="0" relativeHeight="251659264" behindDoc="1" locked="0" layoutInCell="1" allowOverlap="1">
            <wp:simplePos x="0" y="0"/>
            <wp:positionH relativeFrom="column">
              <wp:posOffset>-137160</wp:posOffset>
            </wp:positionH>
            <wp:positionV relativeFrom="paragraph">
              <wp:posOffset>169545</wp:posOffset>
            </wp:positionV>
            <wp:extent cx="6102985" cy="577850"/>
            <wp:effectExtent l="0" t="0" r="0" b="0"/>
            <wp:wrapNone/>
            <wp:docPr id="2030584735" name="Imagen 2030584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102985" cy="577850"/>
                    </a:xfrm>
                    <a:prstGeom prst="rect">
                      <a:avLst/>
                    </a:prstGeom>
                  </pic:spPr>
                </pic:pic>
              </a:graphicData>
            </a:graphic>
          </wp:anchor>
        </w:drawing>
      </w:r>
      <w:r>
        <w:rPr>
          <w:rFonts w:ascii="Century Schoolbook L" w:hAnsi="Century Schoolbook L"/>
          <w:b/>
          <w:i/>
          <w:iCs/>
          <w:sz w:val="32"/>
          <w:szCs w:val="32"/>
        </w:rPr>
        <w:t xml:space="preserve">      </w:t>
      </w:r>
      <w:r w:rsidRPr="008E621A">
        <w:rPr>
          <w:rFonts w:ascii="Century Schoolbook L" w:hAnsi="Century Schoolbook L"/>
          <w:b/>
          <w:i/>
          <w:iCs/>
          <w:sz w:val="32"/>
          <w:szCs w:val="32"/>
        </w:rPr>
        <w:t>Municipalidad de Rivadavia</w:t>
      </w:r>
    </w:p>
    <w:p w:rsidR="00D07AF5" w:rsidRPr="008E621A" w:rsidRDefault="00D07AF5" w:rsidP="00D07AF5">
      <w:pPr>
        <w:pStyle w:val="Encabezado"/>
        <w:tabs>
          <w:tab w:val="left" w:pos="284"/>
        </w:tabs>
        <w:ind w:left="567" w:right="91"/>
        <w:rPr>
          <w:rFonts w:ascii="Century Schoolbook L" w:hAnsi="Century Schoolbook L"/>
          <w:i/>
          <w:iCs/>
          <w:sz w:val="20"/>
        </w:rPr>
      </w:pPr>
      <w:r>
        <w:rPr>
          <w:rFonts w:ascii="Century Schoolbook L" w:hAnsi="Century Schoolbook L"/>
          <w:i/>
          <w:iCs/>
          <w:sz w:val="20"/>
        </w:rPr>
        <w:t xml:space="preserve">                  </w:t>
      </w:r>
      <w:r w:rsidRPr="008E621A">
        <w:rPr>
          <w:rFonts w:ascii="Century Schoolbook L" w:hAnsi="Century Schoolbook L"/>
          <w:i/>
          <w:iCs/>
          <w:sz w:val="20"/>
        </w:rPr>
        <w:t>Mendoza – Argentina</w:t>
      </w:r>
    </w:p>
    <w:p w:rsidR="00D07AF5" w:rsidRDefault="00D07AF5" w:rsidP="00D07AF5">
      <w:pPr>
        <w:pStyle w:val="Encabezado"/>
        <w:tabs>
          <w:tab w:val="clear" w:pos="4252"/>
          <w:tab w:val="clear" w:pos="8504"/>
          <w:tab w:val="left" w:pos="1920"/>
        </w:tabs>
        <w:ind w:left="-426"/>
        <w:jc w:val="both"/>
      </w:pPr>
      <w:r>
        <w:rPr>
          <w:rFonts w:ascii="Century Schoolbook L" w:hAnsi="Century Schoolbook L"/>
          <w:b/>
          <w:i/>
          <w:iCs/>
          <w:sz w:val="28"/>
          <w:szCs w:val="28"/>
          <w:lang w:val="es-ES" w:eastAsia="ar-SA"/>
        </w:rPr>
        <w:t xml:space="preserve">     SECRETARIA DE OBRAS Y SERVICIOS PUBLICOS</w:t>
      </w:r>
    </w:p>
    <w:p w:rsidR="00694F96" w:rsidRDefault="00694F96" w:rsidP="00D07AF5">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 xml:space="preserve">                                       </w:t>
      </w:r>
    </w:p>
    <w:p w:rsidR="00D07AF5" w:rsidRDefault="00D07AF5" w:rsidP="00D07AF5">
      <w:pPr>
        <w:autoSpaceDE w:val="0"/>
        <w:autoSpaceDN w:val="0"/>
        <w:adjustRightInd w:val="0"/>
        <w:rPr>
          <w:rFonts w:eastAsiaTheme="minorHAnsi"/>
          <w:color w:val="000000"/>
          <w:sz w:val="24"/>
          <w:szCs w:val="24"/>
          <w:lang w:eastAsia="en-US"/>
        </w:rPr>
      </w:pPr>
    </w:p>
    <w:p w:rsidR="00694F96" w:rsidRDefault="00694F96" w:rsidP="00694F96">
      <w:pPr>
        <w:autoSpaceDE w:val="0"/>
        <w:autoSpaceDN w:val="0"/>
        <w:adjustRightInd w:val="0"/>
        <w:rPr>
          <w:rFonts w:eastAsiaTheme="minorHAnsi"/>
          <w:sz w:val="24"/>
          <w:szCs w:val="24"/>
          <w:lang w:eastAsia="en-US"/>
        </w:rPr>
      </w:pPr>
      <w:r>
        <w:rPr>
          <w:rFonts w:eastAsiaTheme="minorHAnsi"/>
          <w:color w:val="000000"/>
          <w:sz w:val="24"/>
          <w:szCs w:val="24"/>
          <w:lang w:eastAsia="en-US"/>
        </w:rPr>
        <w:t xml:space="preserve"> </w:t>
      </w:r>
    </w:p>
    <w:p w:rsidR="00694F96" w:rsidRPr="00584DFD" w:rsidRDefault="00694F96" w:rsidP="00694F96">
      <w:pPr>
        <w:autoSpaceDE w:val="0"/>
        <w:autoSpaceDN w:val="0"/>
        <w:adjustRightInd w:val="0"/>
        <w:rPr>
          <w:rFonts w:eastAsiaTheme="minorHAnsi"/>
          <w:sz w:val="24"/>
          <w:szCs w:val="24"/>
          <w:u w:val="single"/>
          <w:lang w:eastAsia="en-US"/>
        </w:rPr>
      </w:pPr>
      <w:r w:rsidRPr="00584DFD">
        <w:rPr>
          <w:rFonts w:eastAsiaTheme="minorHAnsi"/>
          <w:b/>
          <w:bCs/>
          <w:color w:val="000000"/>
          <w:sz w:val="24"/>
          <w:szCs w:val="24"/>
          <w:u w:val="single"/>
          <w:lang w:eastAsia="en-US"/>
        </w:rPr>
        <w:t xml:space="preserve">PLIEGO DE ESPECIFICACIONES TECNICAS PARTICULARES </w:t>
      </w:r>
    </w:p>
    <w:p w:rsidR="00694F96" w:rsidRDefault="00694F96" w:rsidP="00694F96">
      <w:pPr>
        <w:autoSpaceDE w:val="0"/>
        <w:autoSpaceDN w:val="0"/>
        <w:adjustRightInd w:val="0"/>
        <w:rPr>
          <w:rFonts w:eastAsiaTheme="minorHAnsi"/>
          <w:color w:val="000000"/>
          <w:sz w:val="24"/>
          <w:szCs w:val="24"/>
          <w:lang w:eastAsia="en-US"/>
        </w:rPr>
      </w:pPr>
    </w:p>
    <w:p w:rsidR="001C0DC0" w:rsidRDefault="001C0DC0" w:rsidP="00694F96">
      <w:pPr>
        <w:autoSpaceDE w:val="0"/>
        <w:autoSpaceDN w:val="0"/>
        <w:adjustRightInd w:val="0"/>
        <w:rPr>
          <w:rFonts w:eastAsiaTheme="minorHAnsi"/>
          <w:b/>
          <w:bCs/>
          <w:color w:val="000000"/>
          <w:sz w:val="24"/>
          <w:szCs w:val="24"/>
          <w:u w:val="single"/>
          <w:lang w:eastAsia="en-US"/>
        </w:rPr>
      </w:pPr>
    </w:p>
    <w:p w:rsidR="00EA18C2" w:rsidRPr="00584DFD" w:rsidRDefault="009B51FA" w:rsidP="00694F96">
      <w:pPr>
        <w:autoSpaceDE w:val="0"/>
        <w:autoSpaceDN w:val="0"/>
        <w:adjustRightInd w:val="0"/>
        <w:rPr>
          <w:rFonts w:eastAsiaTheme="minorHAnsi"/>
          <w:bCs/>
          <w:color w:val="000000"/>
          <w:sz w:val="24"/>
          <w:szCs w:val="24"/>
          <w:lang w:eastAsia="en-US"/>
        </w:rPr>
      </w:pPr>
      <w:r>
        <w:rPr>
          <w:rFonts w:eastAsiaTheme="minorHAnsi"/>
          <w:b/>
          <w:bCs/>
          <w:color w:val="000000"/>
          <w:sz w:val="24"/>
          <w:szCs w:val="24"/>
          <w:u w:val="single"/>
          <w:lang w:eastAsia="en-US"/>
        </w:rPr>
        <w:t>OBRA</w:t>
      </w:r>
      <w:r w:rsidR="00E534FB">
        <w:rPr>
          <w:rFonts w:eastAsiaTheme="minorHAnsi"/>
          <w:b/>
          <w:bCs/>
          <w:color w:val="000000"/>
          <w:sz w:val="24"/>
          <w:szCs w:val="24"/>
          <w:u w:val="single"/>
          <w:lang w:eastAsia="en-US"/>
        </w:rPr>
        <w:t xml:space="preserve">: </w:t>
      </w:r>
      <w:r w:rsidR="00926960">
        <w:rPr>
          <w:rFonts w:eastAsiaTheme="minorHAnsi"/>
          <w:bCs/>
          <w:color w:val="000000"/>
          <w:sz w:val="24"/>
          <w:szCs w:val="24"/>
          <w:lang w:eastAsia="en-US"/>
        </w:rPr>
        <w:t>M</w:t>
      </w:r>
      <w:r w:rsidR="00BF10A5">
        <w:rPr>
          <w:rFonts w:eastAsiaTheme="minorHAnsi"/>
          <w:bCs/>
          <w:color w:val="000000"/>
          <w:sz w:val="24"/>
          <w:szCs w:val="24"/>
          <w:lang w:eastAsia="en-US"/>
        </w:rPr>
        <w:t xml:space="preserve">ANO DE OBRA </w:t>
      </w:r>
      <w:r w:rsidR="00FA3692">
        <w:rPr>
          <w:rFonts w:eastAsiaTheme="minorHAnsi"/>
          <w:bCs/>
          <w:color w:val="000000"/>
          <w:sz w:val="24"/>
          <w:szCs w:val="24"/>
          <w:lang w:eastAsia="en-US"/>
        </w:rPr>
        <w:t>DEMARCACION CON PINTURA VIAL PARA REDUCTORES DE VELOCIDAD.</w:t>
      </w:r>
      <w:r w:rsidR="00BF10A5">
        <w:rPr>
          <w:rFonts w:eastAsiaTheme="minorHAnsi"/>
          <w:bCs/>
          <w:color w:val="000000"/>
          <w:sz w:val="24"/>
          <w:szCs w:val="24"/>
          <w:lang w:eastAsia="en-US"/>
        </w:rPr>
        <w:t xml:space="preserve"> </w:t>
      </w:r>
    </w:p>
    <w:p w:rsidR="00EA18C2" w:rsidRDefault="00EA18C2" w:rsidP="00694F96">
      <w:pPr>
        <w:autoSpaceDE w:val="0"/>
        <w:autoSpaceDN w:val="0"/>
        <w:adjustRightInd w:val="0"/>
        <w:rPr>
          <w:rFonts w:eastAsiaTheme="minorHAnsi"/>
          <w:b/>
          <w:bCs/>
          <w:color w:val="000000"/>
          <w:sz w:val="24"/>
          <w:szCs w:val="24"/>
          <w:u w:val="single"/>
          <w:lang w:eastAsia="en-US"/>
        </w:rPr>
      </w:pPr>
    </w:p>
    <w:p w:rsidR="00694F96" w:rsidRDefault="00694F96" w:rsidP="00694F96">
      <w:pPr>
        <w:autoSpaceDE w:val="0"/>
        <w:autoSpaceDN w:val="0"/>
        <w:adjustRightInd w:val="0"/>
        <w:rPr>
          <w:rFonts w:eastAsiaTheme="minorHAnsi"/>
          <w:color w:val="000000"/>
          <w:sz w:val="24"/>
          <w:szCs w:val="24"/>
          <w:lang w:eastAsia="en-US"/>
        </w:rPr>
      </w:pPr>
      <w:r w:rsidRPr="001C457B">
        <w:rPr>
          <w:rFonts w:eastAsiaTheme="minorHAnsi"/>
          <w:b/>
          <w:bCs/>
          <w:color w:val="000000"/>
          <w:sz w:val="24"/>
          <w:szCs w:val="24"/>
          <w:u w:val="single"/>
          <w:lang w:eastAsia="en-US"/>
        </w:rPr>
        <w:t>Art. Nº 1º</w:t>
      </w:r>
      <w:r>
        <w:rPr>
          <w:rFonts w:eastAsiaTheme="minorHAnsi"/>
          <w:color w:val="000000"/>
          <w:sz w:val="24"/>
          <w:szCs w:val="24"/>
          <w:lang w:eastAsia="en-US"/>
        </w:rPr>
        <w:t xml:space="preserve">: </w:t>
      </w:r>
      <w:r w:rsidR="009B51FA">
        <w:rPr>
          <w:rFonts w:eastAsiaTheme="minorHAnsi"/>
          <w:color w:val="000000"/>
          <w:sz w:val="24"/>
          <w:szCs w:val="24"/>
          <w:lang w:eastAsia="en-US"/>
        </w:rPr>
        <w:t xml:space="preserve">La presente contratación directa comprende la </w:t>
      </w:r>
      <w:r w:rsidR="00926960">
        <w:rPr>
          <w:rFonts w:eastAsiaTheme="minorHAnsi"/>
          <w:color w:val="000000"/>
          <w:sz w:val="24"/>
          <w:szCs w:val="24"/>
          <w:lang w:eastAsia="en-US"/>
        </w:rPr>
        <w:t xml:space="preserve">contratación de mano de obra </w:t>
      </w:r>
      <w:r w:rsidR="00FA3692">
        <w:rPr>
          <w:rFonts w:eastAsiaTheme="minorHAnsi"/>
          <w:color w:val="000000"/>
          <w:sz w:val="24"/>
          <w:szCs w:val="24"/>
          <w:lang w:eastAsia="en-US"/>
        </w:rPr>
        <w:t>demarcación con pintura vial para reductores de velocidad.</w:t>
      </w:r>
    </w:p>
    <w:p w:rsidR="009B51FA" w:rsidRPr="009B51FA" w:rsidRDefault="009B51FA" w:rsidP="00694F96">
      <w:pPr>
        <w:autoSpaceDE w:val="0"/>
        <w:autoSpaceDN w:val="0"/>
        <w:adjustRightInd w:val="0"/>
        <w:rPr>
          <w:rFonts w:eastAsiaTheme="minorHAnsi"/>
          <w:color w:val="000000"/>
          <w:sz w:val="24"/>
          <w:szCs w:val="24"/>
          <w:lang w:eastAsia="en-US"/>
        </w:rPr>
      </w:pPr>
      <w:r>
        <w:rPr>
          <w:rFonts w:eastAsiaTheme="minorHAnsi"/>
          <w:b/>
          <w:color w:val="000000"/>
          <w:sz w:val="24"/>
          <w:szCs w:val="24"/>
          <w:u w:val="single"/>
          <w:lang w:eastAsia="en-US"/>
        </w:rPr>
        <w:t xml:space="preserve">Art. N° 2: </w:t>
      </w:r>
      <w:r w:rsidR="00926960">
        <w:rPr>
          <w:rFonts w:eastAsiaTheme="minorHAnsi"/>
          <w:color w:val="000000"/>
          <w:sz w:val="24"/>
          <w:szCs w:val="24"/>
          <w:lang w:eastAsia="en-US"/>
        </w:rPr>
        <w:t>E l trabajo a presupuestar es</w:t>
      </w:r>
      <w:r>
        <w:rPr>
          <w:rFonts w:eastAsiaTheme="minorHAnsi"/>
          <w:color w:val="000000"/>
          <w:sz w:val="24"/>
          <w:szCs w:val="24"/>
          <w:lang w:eastAsia="en-US"/>
        </w:rPr>
        <w:t>:</w:t>
      </w:r>
    </w:p>
    <w:p w:rsidR="001C0DC0" w:rsidRDefault="00D07AF5" w:rsidP="00694F96">
      <w:pPr>
        <w:autoSpaceDE w:val="0"/>
        <w:autoSpaceDN w:val="0"/>
        <w:adjustRightInd w:val="0"/>
        <w:rPr>
          <w:rFonts w:eastAsiaTheme="minorHAnsi"/>
          <w:b/>
          <w:bCs/>
          <w:color w:val="000000"/>
          <w:sz w:val="24"/>
          <w:szCs w:val="24"/>
          <w:u w:val="single"/>
          <w:lang w:eastAsia="en-US"/>
        </w:rPr>
      </w:pPr>
      <w:r>
        <w:rPr>
          <w:rFonts w:eastAsiaTheme="minorHAnsi"/>
          <w:b/>
          <w:bCs/>
          <w:color w:val="000000"/>
          <w:sz w:val="24"/>
          <w:szCs w:val="24"/>
          <w:u w:val="single"/>
          <w:lang w:eastAsia="en-US"/>
        </w:rPr>
        <w:t xml:space="preserve"> </w:t>
      </w:r>
      <w:r w:rsidR="00176C5E">
        <w:rPr>
          <w:rFonts w:eastAsiaTheme="minorHAnsi"/>
          <w:b/>
          <w:bCs/>
          <w:color w:val="000000"/>
          <w:sz w:val="24"/>
          <w:szCs w:val="24"/>
          <w:u w:val="single"/>
          <w:lang w:eastAsia="en-US"/>
        </w:rPr>
        <w:t xml:space="preserve"> </w:t>
      </w:r>
    </w:p>
    <w:tbl>
      <w:tblPr>
        <w:tblW w:w="8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5812"/>
        <w:gridCol w:w="709"/>
        <w:gridCol w:w="1134"/>
      </w:tblGrid>
      <w:tr w:rsidR="009B51FA" w:rsidRPr="00197DF3" w:rsidTr="009B51FA">
        <w:tc>
          <w:tcPr>
            <w:tcW w:w="675" w:type="dxa"/>
          </w:tcPr>
          <w:p w:rsidR="009B51FA" w:rsidRPr="009B51FA" w:rsidRDefault="00926960" w:rsidP="00320104">
            <w:pPr>
              <w:spacing w:after="200" w:line="276" w:lineRule="auto"/>
              <w:jc w:val="center"/>
              <w:rPr>
                <w:b/>
                <w:u w:val="single"/>
                <w:lang w:val="es-ES_tradnl"/>
              </w:rPr>
            </w:pPr>
            <w:r w:rsidRPr="009B51FA">
              <w:rPr>
                <w:b/>
                <w:u w:val="single"/>
                <w:lang w:val="es-ES_tradnl"/>
              </w:rPr>
              <w:t>Ítem</w:t>
            </w:r>
          </w:p>
        </w:tc>
        <w:tc>
          <w:tcPr>
            <w:tcW w:w="5812" w:type="dxa"/>
          </w:tcPr>
          <w:p w:rsidR="009B51FA" w:rsidRPr="009B51FA" w:rsidRDefault="00926960" w:rsidP="00320104">
            <w:pPr>
              <w:spacing w:after="200" w:line="276" w:lineRule="auto"/>
              <w:jc w:val="center"/>
              <w:rPr>
                <w:b/>
                <w:u w:val="single"/>
                <w:lang w:val="es-ES_tradnl"/>
              </w:rPr>
            </w:pPr>
            <w:r w:rsidRPr="009B51FA">
              <w:rPr>
                <w:b/>
                <w:u w:val="single"/>
                <w:lang w:val="es-ES_tradnl"/>
              </w:rPr>
              <w:t>Descripción</w:t>
            </w:r>
          </w:p>
        </w:tc>
        <w:tc>
          <w:tcPr>
            <w:tcW w:w="709" w:type="dxa"/>
          </w:tcPr>
          <w:p w:rsidR="009B51FA" w:rsidRPr="009B51FA" w:rsidRDefault="009B51FA" w:rsidP="00320104">
            <w:pPr>
              <w:spacing w:after="200" w:line="276" w:lineRule="auto"/>
              <w:jc w:val="center"/>
              <w:rPr>
                <w:b/>
                <w:u w:val="single"/>
                <w:lang w:val="es-ES_tradnl"/>
              </w:rPr>
            </w:pPr>
            <w:r w:rsidRPr="009B51FA">
              <w:rPr>
                <w:b/>
                <w:u w:val="single"/>
                <w:lang w:val="es-ES_tradnl"/>
              </w:rPr>
              <w:t>Unid.</w:t>
            </w:r>
          </w:p>
        </w:tc>
        <w:tc>
          <w:tcPr>
            <w:tcW w:w="1134" w:type="dxa"/>
          </w:tcPr>
          <w:p w:rsidR="009B51FA" w:rsidRPr="009B51FA" w:rsidRDefault="009B51FA" w:rsidP="009B51FA">
            <w:pPr>
              <w:spacing w:after="200" w:line="276" w:lineRule="auto"/>
              <w:jc w:val="center"/>
              <w:rPr>
                <w:b/>
                <w:u w:val="single"/>
                <w:lang w:val="es-ES_tradnl"/>
              </w:rPr>
            </w:pPr>
            <w:proofErr w:type="spellStart"/>
            <w:r w:rsidRPr="009B51FA">
              <w:rPr>
                <w:b/>
                <w:u w:val="single"/>
                <w:lang w:val="es-ES_tradnl"/>
              </w:rPr>
              <w:t>Cant</w:t>
            </w:r>
            <w:proofErr w:type="spellEnd"/>
            <w:r w:rsidRPr="009B51FA">
              <w:rPr>
                <w:b/>
                <w:u w:val="single"/>
                <w:lang w:val="es-ES_tradnl"/>
              </w:rPr>
              <w:t>. total</w:t>
            </w:r>
          </w:p>
        </w:tc>
      </w:tr>
      <w:tr w:rsidR="009B51FA" w:rsidRPr="00197DF3" w:rsidTr="009B51FA">
        <w:trPr>
          <w:trHeight w:val="407"/>
        </w:trPr>
        <w:tc>
          <w:tcPr>
            <w:tcW w:w="675" w:type="dxa"/>
          </w:tcPr>
          <w:p w:rsidR="009B51FA" w:rsidRPr="00926960" w:rsidRDefault="009B51FA" w:rsidP="00320104">
            <w:pPr>
              <w:spacing w:after="200" w:line="276" w:lineRule="auto"/>
              <w:jc w:val="both"/>
              <w:rPr>
                <w:sz w:val="22"/>
                <w:szCs w:val="22"/>
                <w:lang w:val="es-ES_tradnl"/>
              </w:rPr>
            </w:pPr>
            <w:r w:rsidRPr="00926960">
              <w:rPr>
                <w:sz w:val="22"/>
                <w:szCs w:val="22"/>
                <w:lang w:val="es-ES_tradnl"/>
              </w:rPr>
              <w:t>01</w:t>
            </w:r>
          </w:p>
        </w:tc>
        <w:tc>
          <w:tcPr>
            <w:tcW w:w="5812" w:type="dxa"/>
          </w:tcPr>
          <w:p w:rsidR="009B51FA" w:rsidRPr="00926960" w:rsidRDefault="00BF10A5" w:rsidP="00FA3692">
            <w:pPr>
              <w:spacing w:after="200" w:line="276" w:lineRule="auto"/>
              <w:jc w:val="both"/>
              <w:rPr>
                <w:sz w:val="22"/>
                <w:szCs w:val="22"/>
                <w:lang w:val="es-ES_tradnl"/>
              </w:rPr>
            </w:pPr>
            <w:r>
              <w:rPr>
                <w:sz w:val="22"/>
                <w:szCs w:val="22"/>
                <w:lang w:val="es-ES_tradnl"/>
              </w:rPr>
              <w:t>MANO DE OBRA</w:t>
            </w:r>
            <w:r w:rsidR="00FA3692">
              <w:rPr>
                <w:sz w:val="22"/>
                <w:szCs w:val="22"/>
                <w:lang w:val="es-ES_tradnl"/>
              </w:rPr>
              <w:t xml:space="preserve"> DEMARCACION CON PINTURA VIAL EN CALIENTE PARA REDUCTORES DE VELOCIDAD DE DOS (02) LOMOS DE BURRO EN CALLE FALUCHO Y UNO (01) LOMO DE BURRO EN CALLE E. CATENA. CADA LOMO DE BURRO CON UNA SUPERFICIE DE 34 M2.</w:t>
            </w:r>
          </w:p>
        </w:tc>
        <w:tc>
          <w:tcPr>
            <w:tcW w:w="709" w:type="dxa"/>
          </w:tcPr>
          <w:p w:rsidR="009B51FA" w:rsidRPr="00926960" w:rsidRDefault="00C50006" w:rsidP="00320104">
            <w:pPr>
              <w:spacing w:after="200" w:line="276" w:lineRule="auto"/>
              <w:jc w:val="center"/>
              <w:rPr>
                <w:sz w:val="22"/>
                <w:szCs w:val="22"/>
                <w:lang w:val="es-ES_tradnl"/>
              </w:rPr>
            </w:pPr>
            <w:r w:rsidRPr="00926960">
              <w:rPr>
                <w:sz w:val="22"/>
                <w:szCs w:val="22"/>
                <w:lang w:val="es-ES_tradnl"/>
              </w:rPr>
              <w:t>U</w:t>
            </w:r>
          </w:p>
        </w:tc>
        <w:tc>
          <w:tcPr>
            <w:tcW w:w="1134" w:type="dxa"/>
          </w:tcPr>
          <w:p w:rsidR="009B51FA" w:rsidRPr="00926960" w:rsidRDefault="00FF62CA" w:rsidP="00320104">
            <w:pPr>
              <w:spacing w:after="200" w:line="276" w:lineRule="auto"/>
              <w:jc w:val="center"/>
              <w:rPr>
                <w:sz w:val="22"/>
                <w:szCs w:val="22"/>
                <w:lang w:val="es-ES_tradnl"/>
              </w:rPr>
            </w:pPr>
            <w:r>
              <w:rPr>
                <w:sz w:val="22"/>
                <w:szCs w:val="22"/>
                <w:lang w:val="es-ES_tradnl"/>
              </w:rPr>
              <w:t>3</w:t>
            </w:r>
          </w:p>
        </w:tc>
      </w:tr>
    </w:tbl>
    <w:p w:rsidR="00176C5E" w:rsidRPr="0085382D" w:rsidRDefault="00176C5E" w:rsidP="009B51FA">
      <w:pPr>
        <w:autoSpaceDE w:val="0"/>
        <w:autoSpaceDN w:val="0"/>
        <w:adjustRightInd w:val="0"/>
        <w:rPr>
          <w:rFonts w:eastAsiaTheme="minorHAnsi"/>
          <w:b/>
          <w:bCs/>
          <w:color w:val="000000"/>
          <w:sz w:val="24"/>
          <w:szCs w:val="24"/>
          <w:lang w:eastAsia="en-US"/>
        </w:rPr>
      </w:pPr>
      <w:r>
        <w:rPr>
          <w:rFonts w:eastAsiaTheme="minorHAnsi"/>
          <w:bCs/>
          <w:color w:val="000000"/>
          <w:sz w:val="24"/>
          <w:szCs w:val="24"/>
          <w:lang w:eastAsia="en-US"/>
        </w:rPr>
        <w:tab/>
      </w:r>
      <w:r w:rsidR="0048489D">
        <w:rPr>
          <w:rFonts w:eastAsiaTheme="minorHAnsi"/>
          <w:b/>
          <w:bCs/>
          <w:color w:val="000000"/>
          <w:sz w:val="24"/>
          <w:szCs w:val="24"/>
          <w:lang w:eastAsia="en-US"/>
        </w:rPr>
        <w:t xml:space="preserve"> </w:t>
      </w:r>
    </w:p>
    <w:p w:rsidR="001C457B" w:rsidRDefault="001C457B" w:rsidP="00694F96">
      <w:pPr>
        <w:autoSpaceDE w:val="0"/>
        <w:autoSpaceDN w:val="0"/>
        <w:adjustRightInd w:val="0"/>
        <w:rPr>
          <w:rFonts w:eastAsiaTheme="minorHAnsi"/>
          <w:b/>
          <w:bCs/>
          <w:color w:val="000000"/>
          <w:sz w:val="24"/>
          <w:szCs w:val="24"/>
          <w:u w:val="single"/>
          <w:lang w:eastAsia="en-US"/>
        </w:rPr>
      </w:pPr>
    </w:p>
    <w:p w:rsidR="00C50006" w:rsidRDefault="00694F96" w:rsidP="00C50006">
      <w:pPr>
        <w:autoSpaceDE w:val="0"/>
        <w:autoSpaceDN w:val="0"/>
        <w:adjustRightInd w:val="0"/>
        <w:jc w:val="both"/>
        <w:rPr>
          <w:rFonts w:eastAsiaTheme="minorHAnsi"/>
          <w:color w:val="000000"/>
          <w:sz w:val="24"/>
          <w:szCs w:val="24"/>
          <w:lang w:eastAsia="en-US"/>
        </w:rPr>
      </w:pPr>
      <w:r w:rsidRPr="000069A7">
        <w:rPr>
          <w:rFonts w:eastAsiaTheme="minorHAnsi"/>
          <w:b/>
          <w:bCs/>
          <w:color w:val="000000"/>
          <w:sz w:val="24"/>
          <w:szCs w:val="24"/>
          <w:u w:val="single"/>
          <w:lang w:eastAsia="en-US"/>
        </w:rPr>
        <w:t xml:space="preserve">Art. Nº </w:t>
      </w:r>
      <w:r w:rsidR="00C50006">
        <w:rPr>
          <w:rFonts w:eastAsiaTheme="minorHAnsi"/>
          <w:b/>
          <w:bCs/>
          <w:color w:val="000000"/>
          <w:sz w:val="24"/>
          <w:szCs w:val="24"/>
          <w:u w:val="single"/>
          <w:lang w:eastAsia="en-US"/>
        </w:rPr>
        <w:t>3</w:t>
      </w:r>
      <w:r w:rsidRPr="000069A7">
        <w:rPr>
          <w:rFonts w:eastAsiaTheme="minorHAnsi"/>
          <w:b/>
          <w:bCs/>
          <w:color w:val="000000"/>
          <w:sz w:val="24"/>
          <w:szCs w:val="24"/>
          <w:u w:val="single"/>
          <w:lang w:eastAsia="en-US"/>
        </w:rPr>
        <w:t>º</w:t>
      </w:r>
      <w:r>
        <w:rPr>
          <w:rFonts w:eastAsiaTheme="minorHAnsi"/>
          <w:b/>
          <w:bCs/>
          <w:color w:val="000000"/>
          <w:sz w:val="24"/>
          <w:szCs w:val="24"/>
          <w:lang w:eastAsia="en-US"/>
        </w:rPr>
        <w:t>:</w:t>
      </w:r>
      <w:r>
        <w:rPr>
          <w:rFonts w:eastAsiaTheme="minorHAnsi"/>
          <w:color w:val="000000"/>
          <w:sz w:val="24"/>
          <w:szCs w:val="24"/>
          <w:lang w:eastAsia="en-US"/>
        </w:rPr>
        <w:t xml:space="preserve"> </w:t>
      </w:r>
      <w:r w:rsidR="00C50006">
        <w:rPr>
          <w:rFonts w:eastAsiaTheme="minorHAnsi"/>
          <w:color w:val="000000"/>
          <w:sz w:val="24"/>
          <w:szCs w:val="24"/>
          <w:lang w:eastAsia="en-US"/>
        </w:rPr>
        <w:t>Cualquier consulta  sobre la presente Licitación Pública, deberán dirigirse a la Secretaría de Obras y Servicios Públicos, 2° piso de este Municipio, sito en el edificio ubicado en Lavalle y A. del Valle de esta Ciudad.</w:t>
      </w:r>
    </w:p>
    <w:p w:rsidR="00C50006" w:rsidRDefault="00C50006" w:rsidP="00184F6C">
      <w:pPr>
        <w:autoSpaceDE w:val="0"/>
        <w:autoSpaceDN w:val="0"/>
        <w:adjustRightInd w:val="0"/>
        <w:jc w:val="both"/>
        <w:rPr>
          <w:rFonts w:eastAsiaTheme="minorHAnsi"/>
          <w:color w:val="000000"/>
          <w:sz w:val="24"/>
          <w:szCs w:val="24"/>
          <w:lang w:eastAsia="en-US"/>
        </w:rPr>
      </w:pPr>
    </w:p>
    <w:p w:rsidR="00694F96" w:rsidRDefault="00694F96" w:rsidP="00184F6C">
      <w:pPr>
        <w:autoSpaceDE w:val="0"/>
        <w:autoSpaceDN w:val="0"/>
        <w:adjustRightInd w:val="0"/>
        <w:jc w:val="both"/>
        <w:rPr>
          <w:rFonts w:eastAsiaTheme="minorHAnsi"/>
          <w:color w:val="000000"/>
          <w:sz w:val="24"/>
          <w:szCs w:val="24"/>
          <w:lang w:eastAsia="en-US"/>
        </w:rPr>
      </w:pPr>
      <w:r w:rsidRPr="000069A7">
        <w:rPr>
          <w:rFonts w:eastAsiaTheme="minorHAnsi"/>
          <w:b/>
          <w:bCs/>
          <w:color w:val="000000"/>
          <w:sz w:val="24"/>
          <w:szCs w:val="24"/>
          <w:u w:val="single"/>
          <w:lang w:eastAsia="en-US"/>
        </w:rPr>
        <w:t xml:space="preserve">Art. Nº </w:t>
      </w:r>
      <w:r w:rsidR="00C50006">
        <w:rPr>
          <w:rFonts w:eastAsiaTheme="minorHAnsi"/>
          <w:b/>
          <w:bCs/>
          <w:color w:val="000000"/>
          <w:sz w:val="24"/>
          <w:szCs w:val="24"/>
          <w:u w:val="single"/>
          <w:lang w:eastAsia="en-US"/>
        </w:rPr>
        <w:t>4</w:t>
      </w:r>
      <w:r w:rsidRPr="000069A7">
        <w:rPr>
          <w:rFonts w:eastAsiaTheme="minorHAnsi"/>
          <w:b/>
          <w:bCs/>
          <w:color w:val="000000"/>
          <w:sz w:val="24"/>
          <w:szCs w:val="24"/>
          <w:u w:val="single"/>
          <w:lang w:eastAsia="en-US"/>
        </w:rPr>
        <w:t>º</w:t>
      </w:r>
      <w:r>
        <w:rPr>
          <w:rFonts w:eastAsiaTheme="minorHAnsi"/>
          <w:b/>
          <w:bCs/>
          <w:color w:val="000000"/>
          <w:sz w:val="24"/>
          <w:szCs w:val="24"/>
          <w:lang w:eastAsia="en-US"/>
        </w:rPr>
        <w:t>:</w:t>
      </w:r>
      <w:r>
        <w:rPr>
          <w:rFonts w:eastAsiaTheme="minorHAnsi"/>
          <w:color w:val="000000"/>
          <w:sz w:val="24"/>
          <w:szCs w:val="24"/>
          <w:lang w:eastAsia="en-US"/>
        </w:rPr>
        <w:t xml:space="preserve"> </w:t>
      </w:r>
      <w:r w:rsidR="00C50006">
        <w:rPr>
          <w:rFonts w:eastAsiaTheme="minorHAnsi"/>
          <w:color w:val="000000"/>
          <w:sz w:val="24"/>
          <w:szCs w:val="24"/>
          <w:lang w:eastAsia="en-US"/>
        </w:rPr>
        <w:t xml:space="preserve">Los oferentes deberán cotizar a precio de contado IVA incluido, es decir la totalidad de gastos hasta la recepción y control en el lugar de </w:t>
      </w:r>
      <w:r w:rsidR="00926960">
        <w:rPr>
          <w:rFonts w:eastAsiaTheme="minorHAnsi"/>
          <w:color w:val="000000"/>
          <w:sz w:val="24"/>
          <w:szCs w:val="24"/>
          <w:lang w:eastAsia="en-US"/>
        </w:rPr>
        <w:t xml:space="preserve">obra </w:t>
      </w:r>
      <w:r w:rsidR="00C50006">
        <w:rPr>
          <w:rFonts w:eastAsiaTheme="minorHAnsi"/>
          <w:color w:val="000000"/>
          <w:sz w:val="24"/>
          <w:szCs w:val="24"/>
          <w:lang w:eastAsia="en-US"/>
        </w:rPr>
        <w:t>según artículo 05 de este pliego; dicho pago significara la cancelación total y definitiva, no pudiendo Adjudicatario reclamar ningún otro importe por ningún concepto.</w:t>
      </w:r>
    </w:p>
    <w:p w:rsidR="001C457B" w:rsidRDefault="001C457B" w:rsidP="00694F96">
      <w:pPr>
        <w:autoSpaceDE w:val="0"/>
        <w:autoSpaceDN w:val="0"/>
        <w:adjustRightInd w:val="0"/>
        <w:rPr>
          <w:rFonts w:eastAsiaTheme="minorHAnsi"/>
          <w:b/>
          <w:bCs/>
          <w:color w:val="000000"/>
          <w:sz w:val="24"/>
          <w:szCs w:val="24"/>
          <w:u w:val="single"/>
          <w:lang w:eastAsia="en-US"/>
        </w:rPr>
      </w:pPr>
    </w:p>
    <w:p w:rsidR="00694F96" w:rsidRDefault="00694F96" w:rsidP="00196D31">
      <w:pPr>
        <w:autoSpaceDE w:val="0"/>
        <w:autoSpaceDN w:val="0"/>
        <w:adjustRightInd w:val="0"/>
        <w:jc w:val="both"/>
        <w:rPr>
          <w:rFonts w:eastAsiaTheme="minorHAnsi"/>
          <w:color w:val="000000"/>
          <w:sz w:val="24"/>
          <w:szCs w:val="24"/>
          <w:lang w:eastAsia="en-US"/>
        </w:rPr>
      </w:pPr>
      <w:r w:rsidRPr="000069A7">
        <w:rPr>
          <w:rFonts w:eastAsiaTheme="minorHAnsi"/>
          <w:b/>
          <w:bCs/>
          <w:color w:val="000000"/>
          <w:sz w:val="24"/>
          <w:szCs w:val="24"/>
          <w:u w:val="single"/>
          <w:lang w:eastAsia="en-US"/>
        </w:rPr>
        <w:t xml:space="preserve">Art. Nº </w:t>
      </w:r>
      <w:r w:rsidR="00C50006">
        <w:rPr>
          <w:rFonts w:eastAsiaTheme="minorHAnsi"/>
          <w:b/>
          <w:bCs/>
          <w:color w:val="000000"/>
          <w:sz w:val="24"/>
          <w:szCs w:val="24"/>
          <w:u w:val="single"/>
          <w:lang w:eastAsia="en-US"/>
        </w:rPr>
        <w:t>5</w:t>
      </w:r>
      <w:r>
        <w:rPr>
          <w:rFonts w:eastAsiaTheme="minorHAnsi"/>
          <w:b/>
          <w:bCs/>
          <w:color w:val="000000"/>
          <w:sz w:val="24"/>
          <w:szCs w:val="24"/>
          <w:lang w:eastAsia="en-US"/>
        </w:rPr>
        <w:t xml:space="preserve">: </w:t>
      </w:r>
      <w:r w:rsidR="00C50006">
        <w:rPr>
          <w:rFonts w:eastAsiaTheme="minorHAnsi"/>
          <w:bCs/>
          <w:color w:val="000000"/>
          <w:sz w:val="24"/>
          <w:szCs w:val="24"/>
          <w:lang w:eastAsia="en-US"/>
        </w:rPr>
        <w:t xml:space="preserve">La Empresa adjudicataria deberá </w:t>
      </w:r>
      <w:r w:rsidR="00926960">
        <w:rPr>
          <w:rFonts w:eastAsiaTheme="minorHAnsi"/>
          <w:bCs/>
          <w:color w:val="000000"/>
          <w:sz w:val="24"/>
          <w:szCs w:val="24"/>
          <w:lang w:eastAsia="en-US"/>
        </w:rPr>
        <w:t>realizar los servicios e</w:t>
      </w:r>
      <w:r w:rsidR="00BF10A5">
        <w:rPr>
          <w:rFonts w:eastAsiaTheme="minorHAnsi"/>
          <w:bCs/>
          <w:color w:val="000000"/>
          <w:sz w:val="24"/>
          <w:szCs w:val="24"/>
          <w:lang w:eastAsia="en-US"/>
        </w:rPr>
        <w:t xml:space="preserve">n </w:t>
      </w:r>
      <w:r w:rsidR="00FA3692">
        <w:rPr>
          <w:rFonts w:eastAsiaTheme="minorHAnsi"/>
          <w:bCs/>
          <w:color w:val="000000"/>
          <w:sz w:val="24"/>
          <w:szCs w:val="24"/>
          <w:lang w:eastAsia="en-US"/>
        </w:rPr>
        <w:t xml:space="preserve">calle Falucho y  calle E. Catena de la </w:t>
      </w:r>
      <w:r w:rsidR="00BF10A5">
        <w:rPr>
          <w:rFonts w:eastAsiaTheme="minorHAnsi"/>
          <w:bCs/>
          <w:color w:val="000000"/>
          <w:sz w:val="24"/>
          <w:szCs w:val="24"/>
          <w:lang w:eastAsia="en-US"/>
        </w:rPr>
        <w:t xml:space="preserve">Ciudad de Rivadavia, </w:t>
      </w:r>
      <w:r w:rsidR="00C50006">
        <w:rPr>
          <w:rFonts w:eastAsiaTheme="minorHAnsi"/>
          <w:bCs/>
          <w:color w:val="000000"/>
          <w:sz w:val="24"/>
          <w:szCs w:val="24"/>
          <w:lang w:eastAsia="en-US"/>
        </w:rPr>
        <w:t xml:space="preserve"> además deberá tomar los recaudos necesarios a fin de entregar el bien licit</w:t>
      </w:r>
      <w:r w:rsidR="00FF62CA">
        <w:rPr>
          <w:rFonts w:eastAsiaTheme="minorHAnsi"/>
          <w:bCs/>
          <w:color w:val="000000"/>
          <w:sz w:val="24"/>
          <w:szCs w:val="24"/>
          <w:lang w:eastAsia="en-US"/>
        </w:rPr>
        <w:t>ado en un plazo no superior a 15</w:t>
      </w:r>
      <w:r w:rsidR="00C50006">
        <w:rPr>
          <w:rFonts w:eastAsiaTheme="minorHAnsi"/>
          <w:bCs/>
          <w:color w:val="000000"/>
          <w:sz w:val="24"/>
          <w:szCs w:val="24"/>
          <w:lang w:eastAsia="en-US"/>
        </w:rPr>
        <w:t xml:space="preserve"> (</w:t>
      </w:r>
      <w:r w:rsidR="00FF62CA">
        <w:rPr>
          <w:rFonts w:eastAsiaTheme="minorHAnsi"/>
          <w:bCs/>
          <w:color w:val="000000"/>
          <w:sz w:val="24"/>
          <w:szCs w:val="24"/>
          <w:lang w:eastAsia="en-US"/>
        </w:rPr>
        <w:t>quince</w:t>
      </w:r>
      <w:r w:rsidR="00C50006">
        <w:rPr>
          <w:rFonts w:eastAsiaTheme="minorHAnsi"/>
          <w:bCs/>
          <w:color w:val="000000"/>
          <w:sz w:val="24"/>
          <w:szCs w:val="24"/>
          <w:lang w:eastAsia="en-US"/>
        </w:rPr>
        <w:t>) días corrido</w:t>
      </w:r>
      <w:r w:rsidR="00FF62CA">
        <w:rPr>
          <w:rFonts w:eastAsiaTheme="minorHAnsi"/>
          <w:bCs/>
          <w:color w:val="000000"/>
          <w:sz w:val="24"/>
          <w:szCs w:val="24"/>
          <w:lang w:eastAsia="en-US"/>
        </w:rPr>
        <w:t>s</w:t>
      </w:r>
      <w:r w:rsidR="00C50006">
        <w:rPr>
          <w:rFonts w:eastAsiaTheme="minorHAnsi"/>
          <w:bCs/>
          <w:color w:val="000000"/>
          <w:sz w:val="24"/>
          <w:szCs w:val="24"/>
          <w:lang w:eastAsia="en-US"/>
        </w:rPr>
        <w:t xml:space="preserve">. El cual se contara a partir de la </w:t>
      </w:r>
      <w:r w:rsidR="007A5116">
        <w:rPr>
          <w:rFonts w:eastAsiaTheme="minorHAnsi"/>
          <w:bCs/>
          <w:color w:val="000000"/>
          <w:sz w:val="24"/>
          <w:szCs w:val="24"/>
          <w:lang w:eastAsia="en-US"/>
        </w:rPr>
        <w:t>Notificación</w:t>
      </w:r>
      <w:r w:rsidR="00C50006">
        <w:rPr>
          <w:rFonts w:eastAsiaTheme="minorHAnsi"/>
          <w:bCs/>
          <w:color w:val="000000"/>
          <w:sz w:val="24"/>
          <w:szCs w:val="24"/>
          <w:lang w:eastAsia="en-US"/>
        </w:rPr>
        <w:t xml:space="preserve"> de </w:t>
      </w:r>
      <w:r w:rsidR="007A5116">
        <w:rPr>
          <w:rFonts w:eastAsiaTheme="minorHAnsi"/>
          <w:bCs/>
          <w:color w:val="000000"/>
          <w:sz w:val="24"/>
          <w:szCs w:val="24"/>
          <w:lang w:eastAsia="en-US"/>
        </w:rPr>
        <w:t>Adjudicación</w:t>
      </w:r>
      <w:r w:rsidR="00C50006">
        <w:rPr>
          <w:rFonts w:eastAsiaTheme="minorHAnsi"/>
          <w:bCs/>
          <w:color w:val="000000"/>
          <w:sz w:val="24"/>
          <w:szCs w:val="24"/>
          <w:lang w:eastAsia="en-US"/>
        </w:rPr>
        <w:t xml:space="preserve"> al Adjudicatario.</w:t>
      </w:r>
      <w:r>
        <w:rPr>
          <w:rFonts w:eastAsiaTheme="minorHAnsi"/>
          <w:color w:val="000000"/>
          <w:sz w:val="24"/>
          <w:szCs w:val="24"/>
          <w:lang w:eastAsia="en-US"/>
        </w:rPr>
        <w:t xml:space="preserve"> </w:t>
      </w:r>
    </w:p>
    <w:p w:rsidR="00F304D4" w:rsidRDefault="00F304D4" w:rsidP="00694F96">
      <w:pPr>
        <w:autoSpaceDE w:val="0"/>
        <w:autoSpaceDN w:val="0"/>
        <w:adjustRightInd w:val="0"/>
        <w:rPr>
          <w:rFonts w:eastAsiaTheme="minorHAnsi"/>
          <w:b/>
          <w:bCs/>
          <w:color w:val="000000"/>
          <w:sz w:val="24"/>
          <w:szCs w:val="24"/>
          <w:u w:val="single"/>
          <w:lang w:eastAsia="en-US"/>
        </w:rPr>
      </w:pPr>
    </w:p>
    <w:p w:rsidR="00F07652" w:rsidRDefault="00694F96" w:rsidP="00F07652">
      <w:pPr>
        <w:autoSpaceDE w:val="0"/>
        <w:autoSpaceDN w:val="0"/>
        <w:adjustRightInd w:val="0"/>
        <w:jc w:val="both"/>
        <w:rPr>
          <w:rFonts w:eastAsiaTheme="minorHAnsi"/>
          <w:color w:val="000000"/>
          <w:sz w:val="24"/>
          <w:szCs w:val="24"/>
          <w:lang w:eastAsia="en-US"/>
        </w:rPr>
      </w:pPr>
      <w:r w:rsidRPr="000069A7">
        <w:rPr>
          <w:rFonts w:eastAsiaTheme="minorHAnsi"/>
          <w:b/>
          <w:bCs/>
          <w:color w:val="000000"/>
          <w:sz w:val="24"/>
          <w:szCs w:val="24"/>
          <w:u w:val="single"/>
          <w:lang w:eastAsia="en-US"/>
        </w:rPr>
        <w:t xml:space="preserve">Art. Nº </w:t>
      </w:r>
      <w:r w:rsidR="00C50006">
        <w:rPr>
          <w:rFonts w:eastAsiaTheme="minorHAnsi"/>
          <w:b/>
          <w:bCs/>
          <w:color w:val="000000"/>
          <w:sz w:val="24"/>
          <w:szCs w:val="24"/>
          <w:u w:val="single"/>
          <w:lang w:eastAsia="en-US"/>
        </w:rPr>
        <w:t>6</w:t>
      </w:r>
      <w:r w:rsidRPr="000069A7">
        <w:rPr>
          <w:rFonts w:eastAsiaTheme="minorHAnsi"/>
          <w:b/>
          <w:bCs/>
          <w:color w:val="000000"/>
          <w:sz w:val="24"/>
          <w:szCs w:val="24"/>
          <w:u w:val="single"/>
          <w:lang w:eastAsia="en-US"/>
        </w:rPr>
        <w:t>º</w:t>
      </w:r>
      <w:r>
        <w:rPr>
          <w:rFonts w:eastAsiaTheme="minorHAnsi"/>
          <w:b/>
          <w:bCs/>
          <w:color w:val="000000"/>
          <w:sz w:val="24"/>
          <w:szCs w:val="24"/>
          <w:lang w:eastAsia="en-US"/>
        </w:rPr>
        <w:t>:</w:t>
      </w:r>
      <w:r>
        <w:rPr>
          <w:rFonts w:eastAsiaTheme="minorHAnsi"/>
          <w:color w:val="000000"/>
          <w:sz w:val="24"/>
          <w:szCs w:val="24"/>
          <w:lang w:eastAsia="en-US"/>
        </w:rPr>
        <w:t xml:space="preserve"> </w:t>
      </w:r>
      <w:r w:rsidR="00F07652">
        <w:rPr>
          <w:rFonts w:eastAsiaTheme="minorHAnsi"/>
          <w:color w:val="000000"/>
          <w:sz w:val="24"/>
          <w:szCs w:val="24"/>
          <w:lang w:eastAsia="en-US"/>
        </w:rPr>
        <w:t>Los oferentes deberán constituir domicilio legal en la ciudad de Rivadavia, Mendoza. En caso de no hacerlo, se tendrá como constituido en Mesa de entrada de la Municipalidad de Rivadavia, donde se cursaran válidamente todo tipo de notificaciones relativas a la licitación en la que se hayan presentado.</w:t>
      </w:r>
    </w:p>
    <w:p w:rsidR="00F07652" w:rsidRDefault="00F07652" w:rsidP="00F07652">
      <w:pPr>
        <w:autoSpaceDE w:val="0"/>
        <w:autoSpaceDN w:val="0"/>
        <w:adjustRightInd w:val="0"/>
        <w:jc w:val="both"/>
        <w:rPr>
          <w:rFonts w:eastAsiaTheme="minorHAnsi"/>
          <w:color w:val="000000"/>
          <w:sz w:val="24"/>
          <w:szCs w:val="24"/>
          <w:lang w:eastAsia="en-US"/>
        </w:rPr>
      </w:pPr>
    </w:p>
    <w:p w:rsidR="00F07652" w:rsidRDefault="00F07652" w:rsidP="00F07652">
      <w:pPr>
        <w:autoSpaceDE w:val="0"/>
        <w:autoSpaceDN w:val="0"/>
        <w:adjustRightInd w:val="0"/>
        <w:jc w:val="both"/>
        <w:rPr>
          <w:rFonts w:eastAsiaTheme="minorHAnsi"/>
          <w:color w:val="000000"/>
          <w:sz w:val="24"/>
          <w:szCs w:val="24"/>
          <w:lang w:eastAsia="en-US"/>
        </w:rPr>
      </w:pPr>
    </w:p>
    <w:p w:rsidR="00F07652" w:rsidRDefault="00F07652" w:rsidP="00F07652">
      <w:pPr>
        <w:autoSpaceDE w:val="0"/>
        <w:autoSpaceDN w:val="0"/>
        <w:adjustRightInd w:val="0"/>
        <w:jc w:val="both"/>
        <w:rPr>
          <w:rFonts w:eastAsiaTheme="minorHAnsi"/>
          <w:color w:val="000000"/>
          <w:sz w:val="24"/>
          <w:szCs w:val="24"/>
          <w:lang w:eastAsia="en-US"/>
        </w:rPr>
      </w:pPr>
    </w:p>
    <w:p w:rsidR="00F07652" w:rsidRDefault="00F07652" w:rsidP="00F07652">
      <w:pPr>
        <w:autoSpaceDE w:val="0"/>
        <w:autoSpaceDN w:val="0"/>
        <w:adjustRightInd w:val="0"/>
        <w:jc w:val="both"/>
        <w:rPr>
          <w:rFonts w:eastAsiaTheme="minorHAnsi"/>
          <w:color w:val="000000"/>
          <w:sz w:val="24"/>
          <w:szCs w:val="24"/>
          <w:lang w:eastAsia="en-US"/>
        </w:rPr>
      </w:pPr>
    </w:p>
    <w:p w:rsidR="00694F96" w:rsidRPr="00F07652" w:rsidRDefault="003914FF" w:rsidP="00F07652">
      <w:pPr>
        <w:autoSpaceDE w:val="0"/>
        <w:autoSpaceDN w:val="0"/>
        <w:adjustRightInd w:val="0"/>
        <w:jc w:val="right"/>
        <w:rPr>
          <w:rFonts w:eastAsiaTheme="minorHAnsi"/>
          <w:color w:val="000000"/>
          <w:sz w:val="24"/>
          <w:szCs w:val="24"/>
          <w:lang w:eastAsia="en-US"/>
        </w:rPr>
      </w:pPr>
      <w:r>
        <w:rPr>
          <w:rFonts w:eastAsiaTheme="minorHAnsi"/>
          <w:b/>
          <w:bCs/>
          <w:color w:val="000000"/>
          <w:sz w:val="24"/>
          <w:szCs w:val="24"/>
          <w:lang w:eastAsia="en-US"/>
        </w:rPr>
        <w:t>Secretaría de O</w:t>
      </w:r>
      <w:r w:rsidR="00BF10A5">
        <w:rPr>
          <w:rFonts w:eastAsiaTheme="minorHAnsi"/>
          <w:b/>
          <w:bCs/>
          <w:color w:val="000000"/>
          <w:sz w:val="24"/>
          <w:szCs w:val="24"/>
          <w:lang w:eastAsia="en-US"/>
        </w:rPr>
        <w:t xml:space="preserve">bras y Servicios Públicos, Junio </w:t>
      </w:r>
      <w:r w:rsidR="00694F96">
        <w:rPr>
          <w:rFonts w:eastAsiaTheme="minorHAnsi"/>
          <w:b/>
          <w:bCs/>
          <w:color w:val="000000"/>
          <w:sz w:val="24"/>
          <w:szCs w:val="24"/>
          <w:lang w:eastAsia="en-US"/>
        </w:rPr>
        <w:t>de 202</w:t>
      </w:r>
      <w:r w:rsidR="00F07652">
        <w:rPr>
          <w:rFonts w:eastAsiaTheme="minorHAnsi"/>
          <w:b/>
          <w:bCs/>
          <w:color w:val="000000"/>
          <w:sz w:val="24"/>
          <w:szCs w:val="24"/>
          <w:lang w:eastAsia="en-US"/>
        </w:rPr>
        <w:t>5</w:t>
      </w:r>
    </w:p>
    <w:p w:rsidR="00DD7BDA" w:rsidRPr="00694F96" w:rsidRDefault="00DD7BDA" w:rsidP="00694F96"/>
    <w:sectPr w:rsidR="00DD7BDA" w:rsidRPr="00694F96" w:rsidSect="00FA3692">
      <w:pgSz w:w="11906" w:h="16838"/>
      <w:pgMar w:top="56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L">
    <w:altName w:val="MS Mincho"/>
    <w:charset w:val="80"/>
    <w:family w:val="roman"/>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F1010"/>
    <w:rsid w:val="000069A7"/>
    <w:rsid w:val="00013848"/>
    <w:rsid w:val="0002607E"/>
    <w:rsid w:val="00026179"/>
    <w:rsid w:val="00030C9C"/>
    <w:rsid w:val="00031FCA"/>
    <w:rsid w:val="00041014"/>
    <w:rsid w:val="00054CBF"/>
    <w:rsid w:val="00055A8F"/>
    <w:rsid w:val="00055F85"/>
    <w:rsid w:val="0006464A"/>
    <w:rsid w:val="00070222"/>
    <w:rsid w:val="00093B1B"/>
    <w:rsid w:val="000B64DE"/>
    <w:rsid w:val="000F36C4"/>
    <w:rsid w:val="000F59D1"/>
    <w:rsid w:val="00103D6E"/>
    <w:rsid w:val="00107E56"/>
    <w:rsid w:val="00133523"/>
    <w:rsid w:val="00160340"/>
    <w:rsid w:val="001655EC"/>
    <w:rsid w:val="00176C5E"/>
    <w:rsid w:val="00184F6C"/>
    <w:rsid w:val="00196D31"/>
    <w:rsid w:val="001C0DC0"/>
    <w:rsid w:val="001C457B"/>
    <w:rsid w:val="001E6FF0"/>
    <w:rsid w:val="001E7096"/>
    <w:rsid w:val="00201A8D"/>
    <w:rsid w:val="002078A2"/>
    <w:rsid w:val="00226726"/>
    <w:rsid w:val="002373EE"/>
    <w:rsid w:val="00270461"/>
    <w:rsid w:val="00272D5E"/>
    <w:rsid w:val="002730FE"/>
    <w:rsid w:val="002F268B"/>
    <w:rsid w:val="0030281D"/>
    <w:rsid w:val="003321C7"/>
    <w:rsid w:val="0033495F"/>
    <w:rsid w:val="0034180A"/>
    <w:rsid w:val="003572FF"/>
    <w:rsid w:val="003704F3"/>
    <w:rsid w:val="003914FF"/>
    <w:rsid w:val="003A5BA4"/>
    <w:rsid w:val="003B53CE"/>
    <w:rsid w:val="003B7D70"/>
    <w:rsid w:val="003C1046"/>
    <w:rsid w:val="00442035"/>
    <w:rsid w:val="00455E80"/>
    <w:rsid w:val="0048489D"/>
    <w:rsid w:val="004C50D1"/>
    <w:rsid w:val="004D544B"/>
    <w:rsid w:val="004F284B"/>
    <w:rsid w:val="005206A5"/>
    <w:rsid w:val="00524F9C"/>
    <w:rsid w:val="00543A4D"/>
    <w:rsid w:val="005615B7"/>
    <w:rsid w:val="00584DFD"/>
    <w:rsid w:val="0059301B"/>
    <w:rsid w:val="005C295C"/>
    <w:rsid w:val="005E1654"/>
    <w:rsid w:val="005E61C8"/>
    <w:rsid w:val="00644F3E"/>
    <w:rsid w:val="00645E33"/>
    <w:rsid w:val="00674A91"/>
    <w:rsid w:val="00680975"/>
    <w:rsid w:val="00693F87"/>
    <w:rsid w:val="00694F96"/>
    <w:rsid w:val="006A2A5D"/>
    <w:rsid w:val="006D724B"/>
    <w:rsid w:val="006D7FD2"/>
    <w:rsid w:val="006E0311"/>
    <w:rsid w:val="00706FA2"/>
    <w:rsid w:val="00712DE4"/>
    <w:rsid w:val="00724C3F"/>
    <w:rsid w:val="00773A68"/>
    <w:rsid w:val="00787285"/>
    <w:rsid w:val="0079588C"/>
    <w:rsid w:val="007A5116"/>
    <w:rsid w:val="007B4A12"/>
    <w:rsid w:val="007C74A7"/>
    <w:rsid w:val="007E1B68"/>
    <w:rsid w:val="007F1010"/>
    <w:rsid w:val="007F5487"/>
    <w:rsid w:val="00816B6B"/>
    <w:rsid w:val="0085382D"/>
    <w:rsid w:val="00881B7F"/>
    <w:rsid w:val="008A7377"/>
    <w:rsid w:val="008D1609"/>
    <w:rsid w:val="008F2C4D"/>
    <w:rsid w:val="00916B84"/>
    <w:rsid w:val="00926960"/>
    <w:rsid w:val="00930DBD"/>
    <w:rsid w:val="00935AF4"/>
    <w:rsid w:val="00945B51"/>
    <w:rsid w:val="009504D9"/>
    <w:rsid w:val="0096675A"/>
    <w:rsid w:val="009745E8"/>
    <w:rsid w:val="009905CA"/>
    <w:rsid w:val="00990CD5"/>
    <w:rsid w:val="009A7764"/>
    <w:rsid w:val="009B51FA"/>
    <w:rsid w:val="009E6AEE"/>
    <w:rsid w:val="00A41BBB"/>
    <w:rsid w:val="00A54895"/>
    <w:rsid w:val="00A632E3"/>
    <w:rsid w:val="00A92B7B"/>
    <w:rsid w:val="00AC475D"/>
    <w:rsid w:val="00AE1437"/>
    <w:rsid w:val="00B06AEB"/>
    <w:rsid w:val="00BA1B04"/>
    <w:rsid w:val="00BA5F79"/>
    <w:rsid w:val="00BC1790"/>
    <w:rsid w:val="00BF10A5"/>
    <w:rsid w:val="00BF1351"/>
    <w:rsid w:val="00C17541"/>
    <w:rsid w:val="00C50006"/>
    <w:rsid w:val="00C61C8D"/>
    <w:rsid w:val="00C64B0F"/>
    <w:rsid w:val="00C64DDD"/>
    <w:rsid w:val="00C66ACD"/>
    <w:rsid w:val="00CA7079"/>
    <w:rsid w:val="00CB4A88"/>
    <w:rsid w:val="00CC47AD"/>
    <w:rsid w:val="00D04ECF"/>
    <w:rsid w:val="00D07AF5"/>
    <w:rsid w:val="00D2531C"/>
    <w:rsid w:val="00D55B64"/>
    <w:rsid w:val="00D57615"/>
    <w:rsid w:val="00D74A7E"/>
    <w:rsid w:val="00D816CC"/>
    <w:rsid w:val="00DD1016"/>
    <w:rsid w:val="00DD5A1C"/>
    <w:rsid w:val="00DD7BDA"/>
    <w:rsid w:val="00E23CC6"/>
    <w:rsid w:val="00E2722D"/>
    <w:rsid w:val="00E50FA9"/>
    <w:rsid w:val="00E534FB"/>
    <w:rsid w:val="00E60058"/>
    <w:rsid w:val="00E7379B"/>
    <w:rsid w:val="00E80B47"/>
    <w:rsid w:val="00E90E05"/>
    <w:rsid w:val="00EA18C2"/>
    <w:rsid w:val="00EC05A0"/>
    <w:rsid w:val="00ED1B52"/>
    <w:rsid w:val="00F07652"/>
    <w:rsid w:val="00F304D4"/>
    <w:rsid w:val="00F66667"/>
    <w:rsid w:val="00FA3692"/>
    <w:rsid w:val="00FC17CE"/>
    <w:rsid w:val="00FC2097"/>
    <w:rsid w:val="00FC5A72"/>
    <w:rsid w:val="00FF62CA"/>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010"/>
    <w:rPr>
      <w:rFonts w:ascii="Times New Roman" w:eastAsia="Times New Roman" w:hAnsi="Times New Roman" w:cs="Times New Roman"/>
      <w:sz w:val="20"/>
      <w:szCs w:val="20"/>
      <w:lang w:val="es-ES"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704F3"/>
    <w:rPr>
      <w:rFonts w:ascii="Tahoma" w:hAnsi="Tahoma" w:cs="Tahoma"/>
      <w:sz w:val="16"/>
      <w:szCs w:val="16"/>
    </w:rPr>
  </w:style>
  <w:style w:type="character" w:customStyle="1" w:styleId="TextodegloboCar">
    <w:name w:val="Texto de globo Car"/>
    <w:basedOn w:val="Fuentedeprrafopredeter"/>
    <w:link w:val="Textodeglobo"/>
    <w:uiPriority w:val="99"/>
    <w:semiHidden/>
    <w:rsid w:val="003704F3"/>
    <w:rPr>
      <w:rFonts w:ascii="Tahoma" w:eastAsia="Times New Roman" w:hAnsi="Tahoma" w:cs="Tahoma"/>
      <w:sz w:val="16"/>
      <w:szCs w:val="16"/>
      <w:lang w:val="es-ES" w:eastAsia="es-ES_tradnl"/>
    </w:rPr>
  </w:style>
  <w:style w:type="paragraph" w:styleId="Encabezado">
    <w:name w:val="header"/>
    <w:basedOn w:val="Normal"/>
    <w:link w:val="EncabezadoCar"/>
    <w:unhideWhenUsed/>
    <w:rsid w:val="00D07AF5"/>
    <w:pPr>
      <w:tabs>
        <w:tab w:val="center" w:pos="4252"/>
        <w:tab w:val="right" w:pos="8504"/>
      </w:tabs>
    </w:pPr>
    <w:rPr>
      <w:rFonts w:asciiTheme="minorHAnsi" w:eastAsiaTheme="minorHAnsi" w:hAnsiTheme="minorHAnsi" w:cstheme="minorBidi"/>
      <w:kern w:val="2"/>
      <w:sz w:val="22"/>
      <w:szCs w:val="22"/>
      <w:lang w:val="es-AR" w:eastAsia="en-US"/>
    </w:rPr>
  </w:style>
  <w:style w:type="character" w:customStyle="1" w:styleId="EncabezadoCar">
    <w:name w:val="Encabezado Car"/>
    <w:basedOn w:val="Fuentedeprrafopredeter"/>
    <w:link w:val="Encabezado"/>
    <w:rsid w:val="00D07AF5"/>
    <w:rPr>
      <w:kern w:val="2"/>
      <w:lang w:val="es-A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B0099-18DC-4640-8067-91023D432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312</Words>
  <Characters>1720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Graciela</cp:lastModifiedBy>
  <cp:revision>4</cp:revision>
  <cp:lastPrinted>2025-06-13T10:38:00Z</cp:lastPrinted>
  <dcterms:created xsi:type="dcterms:W3CDTF">2025-06-13T10:10:00Z</dcterms:created>
  <dcterms:modified xsi:type="dcterms:W3CDTF">2025-06-13T10:42:00Z</dcterms:modified>
</cp:coreProperties>
</file>