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42" w:lineRule="auto"/>
        <w:ind w:left="206" w:right="2595" w:firstLine="0"/>
        <w:jc w:val="center"/>
        <w:rPr>
          <w:b w:val="1"/>
          <w:smallCaps w:val="1"/>
          <w:color w:val="ea60b2"/>
          <w:sz w:val="48"/>
          <w:szCs w:val="48"/>
        </w:rPr>
      </w:pPr>
      <w:r w:rsidDel="00000000" w:rsidR="00000000" w:rsidRPr="00000000">
        <w:rPr>
          <w:b w:val="1"/>
          <w:smallCaps w:val="1"/>
          <w:color w:val="ea60b2"/>
          <w:sz w:val="48"/>
          <w:szCs w:val="48"/>
        </w:rPr>
        <w:drawing>
          <wp:inline distB="114300" distT="114300" distL="114300" distR="114300">
            <wp:extent cx="6400800" cy="2019300"/>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400800"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342" w:lineRule="auto"/>
        <w:ind w:left="206" w:right="2595" w:firstLine="0"/>
        <w:jc w:val="center"/>
        <w:rPr>
          <w:b w:val="1"/>
          <w:smallCaps w:val="1"/>
          <w:color w:val="ea60b2"/>
          <w:sz w:val="48"/>
          <w:szCs w:val="48"/>
        </w:rPr>
      </w:pPr>
      <w:r w:rsidDel="00000000" w:rsidR="00000000" w:rsidRPr="00000000">
        <w:rPr>
          <w:rtl w:val="0"/>
        </w:rPr>
      </w:r>
    </w:p>
    <w:p w:rsidR="00000000" w:rsidDel="00000000" w:rsidP="00000000" w:rsidRDefault="00000000" w:rsidRPr="00000000" w14:paraId="00000003">
      <w:pPr>
        <w:pStyle w:val="Title"/>
        <w:spacing w:after="0" w:lineRule="auto"/>
        <w:jc w:val="both"/>
        <w:rPr>
          <w:color w:val="000000"/>
          <w:sz w:val="48"/>
          <w:szCs w:val="48"/>
        </w:rPr>
      </w:pPr>
      <w:r w:rsidDel="00000000" w:rsidR="00000000" w:rsidRPr="00000000">
        <w:rPr>
          <w:color w:val="000000"/>
          <w:sz w:val="48"/>
          <w:szCs w:val="48"/>
          <w:rtl w:val="0"/>
        </w:rPr>
        <w:t xml:space="preserve">MUJERES EN SITUACIÓN DE VIOLENCIA  DOMÉSTICA SEGÚN REGISTRO ÚNICO DE CASOS (R.U.C) </w:t>
      </w:r>
    </w:p>
    <w:p w:rsidR="00000000" w:rsidDel="00000000" w:rsidP="00000000" w:rsidRDefault="00000000" w:rsidRPr="00000000" w14:paraId="00000004">
      <w:pPr>
        <w:pStyle w:val="Title"/>
        <w:spacing w:after="0" w:lineRule="auto"/>
        <w:jc w:val="both"/>
        <w:rPr>
          <w:color w:val="000000"/>
          <w:sz w:val="48"/>
          <w:szCs w:val="48"/>
        </w:rPr>
      </w:pPr>
      <w:r w:rsidDel="00000000" w:rsidR="00000000" w:rsidRPr="00000000">
        <w:rPr>
          <w:color w:val="000000"/>
          <w:sz w:val="48"/>
          <w:szCs w:val="48"/>
          <w:rtl w:val="0"/>
        </w:rPr>
        <w:t xml:space="preserve">Enero, Febrero y Marzo de 2020</w:t>
      </w:r>
    </w:p>
    <w:p w:rsidR="00000000" w:rsidDel="00000000" w:rsidP="00000000" w:rsidRDefault="00000000" w:rsidRPr="00000000" w14:paraId="00000005">
      <w:pPr>
        <w:pStyle w:val="Titl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b w:val="1"/>
          <w:sz w:val="20"/>
          <w:szCs w:val="20"/>
        </w:rPr>
        <w:drawing>
          <wp:inline distB="114300" distT="114300" distL="114300" distR="114300">
            <wp:extent cx="6191250" cy="67310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191250" cy="6731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A">
      <w:pPr>
        <w:rPr>
          <w:sz w:val="11"/>
          <w:szCs w:val="11"/>
        </w:rPr>
        <w:sectPr>
          <w:footerReference r:id="rId8" w:type="default"/>
          <w:pgSz w:h="16840" w:w="11910"/>
          <w:pgMar w:bottom="1440" w:top="1440" w:left="1080" w:right="1080" w:header="720" w:footer="964"/>
          <w:pgNumType w:start="1"/>
          <w:cols w:equalWidth="0"/>
        </w:sectPr>
      </w:pPr>
      <w:r w:rsidDel="00000000" w:rsidR="00000000" w:rsidRPr="00000000">
        <w:rPr>
          <w:rtl w:val="0"/>
        </w:rPr>
      </w:r>
    </w:p>
    <w:p w:rsidR="00000000" w:rsidDel="00000000" w:rsidP="00000000" w:rsidRDefault="00000000" w:rsidRPr="00000000" w14:paraId="0000001B">
      <w:pPr>
        <w:tabs>
          <w:tab w:val="left" w:pos="9072"/>
        </w:tabs>
        <w:spacing w:before="85" w:lineRule="auto"/>
        <w:ind w:left="204" w:right="1038" w:firstLine="0"/>
        <w:jc w:val="both"/>
        <w:rPr>
          <w:rFonts w:ascii="Calibri" w:cs="Calibri" w:eastAsia="Calibri" w:hAnsi="Calibri"/>
          <w:b w:val="1"/>
          <w:smallCaps w:val="1"/>
          <w:color w:val="7030a0"/>
          <w:sz w:val="24"/>
          <w:szCs w:val="24"/>
        </w:rPr>
      </w:pPr>
      <w:r w:rsidDel="00000000" w:rsidR="00000000" w:rsidRPr="00000000">
        <w:rPr>
          <w:rFonts w:ascii="Calibri" w:cs="Calibri" w:eastAsia="Calibri" w:hAnsi="Calibri"/>
          <w:b w:val="1"/>
          <w:smallCaps w:val="1"/>
          <w:color w:val="7030a0"/>
          <w:sz w:val="24"/>
          <w:szCs w:val="24"/>
          <w:rtl w:val="0"/>
        </w:rPr>
        <w:t xml:space="preserve">MUJER</w:t>
      </w:r>
      <w:r w:rsidDel="00000000" w:rsidR="00000000" w:rsidRPr="00000000">
        <w:rPr>
          <w:rFonts w:ascii="Calibri" w:cs="Calibri" w:eastAsia="Calibri" w:hAnsi="Calibri"/>
          <w:b w:val="1"/>
          <w:smallCaps w:val="1"/>
          <w:color w:val="7030a0"/>
          <w:sz w:val="24"/>
          <w:szCs w:val="24"/>
          <w:rtl w:val="0"/>
        </w:rPr>
        <w:t xml:space="preserve">ES EN SITUACIÓN DE </w:t>
      </w:r>
      <w:r w:rsidDel="00000000" w:rsidR="00000000" w:rsidRPr="00000000">
        <w:rPr>
          <w:rFonts w:ascii="Calibri" w:cs="Calibri" w:eastAsia="Calibri" w:hAnsi="Calibri"/>
          <w:b w:val="1"/>
          <w:smallCaps w:val="1"/>
          <w:color w:val="7030a0"/>
          <w:sz w:val="24"/>
          <w:szCs w:val="24"/>
          <w:vertAlign w:val="baseline"/>
          <w:rtl w:val="0"/>
        </w:rPr>
        <w:t xml:space="preserve">VIOLENCIA DOMÉSTICA </w:t>
      </w:r>
      <w:r w:rsidDel="00000000" w:rsidR="00000000" w:rsidRPr="00000000">
        <w:rPr>
          <w:rFonts w:ascii="Calibri" w:cs="Calibri" w:eastAsia="Calibri" w:hAnsi="Calibri"/>
          <w:b w:val="1"/>
          <w:smallCaps w:val="1"/>
          <w:color w:val="7030a0"/>
          <w:sz w:val="24"/>
          <w:szCs w:val="24"/>
          <w:rtl w:val="0"/>
        </w:rPr>
        <w:t xml:space="preserve">EN MENDOZA. REGISTRO </w:t>
      </w:r>
      <w:r w:rsidDel="00000000" w:rsidR="00000000" w:rsidRPr="00000000">
        <w:rPr>
          <w:b w:val="1"/>
          <w:smallCaps w:val="1"/>
          <w:color w:val="7030a0"/>
          <w:sz w:val="24"/>
          <w:szCs w:val="24"/>
          <w:rtl w:val="0"/>
        </w:rPr>
        <w:t xml:space="preserve">ÚNICO</w:t>
      </w:r>
      <w:r w:rsidDel="00000000" w:rsidR="00000000" w:rsidRPr="00000000">
        <w:rPr>
          <w:rFonts w:ascii="Calibri" w:cs="Calibri" w:eastAsia="Calibri" w:hAnsi="Calibri"/>
          <w:b w:val="1"/>
          <w:smallCaps w:val="1"/>
          <w:color w:val="7030a0"/>
          <w:sz w:val="24"/>
          <w:szCs w:val="24"/>
          <w:rtl w:val="0"/>
        </w:rPr>
        <w:t xml:space="preserve"> DE CASOS (RUC). ENERO, FEBRERO Y MARZO DE 20</w:t>
      </w:r>
      <w:r w:rsidDel="00000000" w:rsidR="00000000" w:rsidRPr="00000000">
        <w:rPr>
          <w:b w:val="1"/>
          <w:smallCaps w:val="1"/>
          <w:color w:val="7030a0"/>
          <w:sz w:val="24"/>
          <w:szCs w:val="24"/>
          <w:rtl w:val="0"/>
        </w:rPr>
        <w:t xml:space="preserve">20</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3"/>
        <w:tabs>
          <w:tab w:val="left" w:pos="9770.000000000002"/>
        </w:tabs>
        <w:ind w:left="296" w:firstLine="0"/>
        <w:jc w:val="both"/>
        <w:rPr>
          <w:rFonts w:ascii="Calibri" w:cs="Calibri" w:eastAsia="Calibri" w:hAnsi="Calibri"/>
          <w:color w:val="7030a0"/>
        </w:rPr>
      </w:pPr>
      <w:r w:rsidDel="00000000" w:rsidR="00000000" w:rsidRPr="00000000">
        <w:rPr>
          <w:rFonts w:ascii="Calibri" w:cs="Calibri" w:eastAsia="Calibri" w:hAnsi="Calibri"/>
          <w:color w:val="7030a0"/>
          <w:rtl w:val="0"/>
        </w:rPr>
        <w:t xml:space="preserve">Introducción</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5275590551170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Registro Único de Casos (RUC) es un instrumento diseñado  e implementado por   la Dirección de Género y Diversidad con el objeto de registrar la situación  de  mujeres que transitan situaciones de violencia doméstica.</w:t>
      </w:r>
    </w:p>
    <w:p w:rsidR="00000000" w:rsidDel="00000000" w:rsidP="00000000" w:rsidRDefault="00000000" w:rsidRPr="00000000" w14:paraId="0000001F">
      <w:pPr>
        <w:pStyle w:val="Heading3"/>
        <w:spacing w:before="200" w:lineRule="auto"/>
        <w:ind w:firstLine="222"/>
        <w:jc w:val="both"/>
        <w:rPr>
          <w:rFonts w:ascii="Calibri" w:cs="Calibri" w:eastAsia="Calibri" w:hAnsi="Calibri"/>
          <w:color w:val="7030a0"/>
        </w:rPr>
      </w:pPr>
      <w:r w:rsidDel="00000000" w:rsidR="00000000" w:rsidRPr="00000000">
        <w:rPr>
          <w:rFonts w:ascii="Calibri" w:cs="Calibri" w:eastAsia="Calibri" w:hAnsi="Calibri"/>
          <w:color w:val="7030a0"/>
          <w:rtl w:val="0"/>
        </w:rPr>
        <w:t xml:space="preserve">¿Por qué un Registro?</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5275590551170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Porque la internalización y naturalización del fenómeno de la violencia hacia las mujeres oculta una grave violación a los derechos humanos e invisibiliza, en muchos casos, las necesidades y demandas de las mujeres que sufren discriminación y desigualdad de género.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49"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objetivos planteados desde el Observatorio de Género y Diversidad son:</w:t>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42"/>
        </w:tabs>
        <w:spacing w:after="0" w:before="196" w:line="240" w:lineRule="auto"/>
        <w:ind w:left="942" w:right="1454"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Centralizar la información y registrar los servicios y abordajes solicitados por la persona en situación de violencia doméstica en las áreas mujer Municipales y centros estatales autorizados para la atención de mujeres, con el propósito de generar indicadores de las mujeres abordadas en la Provincia de Mendoza.</w:t>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42"/>
        </w:tabs>
        <w:spacing w:after="0" w:before="0" w:line="240" w:lineRule="auto"/>
        <w:ind w:left="942" w:right="1449"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Generar datos oficiales sobre la violencia doméstica como insumo para el diseño e implementación de políticas públicas orientadas a prevenir y erradicar este fenómeno que impide a las mujeres vivir una vida libre de violencias. Concientizar sobre los sesgos de género en la generación de información y estadísticas locales, provinciales y nacionales.</w:t>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942"/>
        </w:tabs>
        <w:spacing w:after="0" w:before="102" w:line="240" w:lineRule="auto"/>
        <w:ind w:left="942" w:right="1450" w:hanging="360"/>
        <w:jc w:val="both"/>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Concientizar sobre la necesidad de unificar registros administrativos Provinciales que aborden mujeres en situación de violencia en el marco de la Propuesta del RUCUVM creado en el marco de la ley N°26.485 de “Protección Integral a las mujeres” en conjunto con el Instituto Nacional de Estadísticas y Censos (INDEC).</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3"/>
        <w:spacing w:before="0" w:lineRule="auto"/>
        <w:ind w:left="0" w:firstLine="0"/>
        <w:jc w:val="both"/>
        <w:rPr>
          <w:rFonts w:ascii="Calibri" w:cs="Calibri" w:eastAsia="Calibri" w:hAnsi="Calibri"/>
          <w:color w:val="7030a0"/>
        </w:rPr>
      </w:pPr>
      <w:r w:rsidDel="00000000" w:rsidR="00000000" w:rsidRPr="00000000">
        <w:rPr>
          <w:rFonts w:ascii="Calibri" w:cs="Calibri" w:eastAsia="Calibri" w:hAnsi="Calibri"/>
          <w:color w:val="7030a0"/>
          <w:rtl w:val="0"/>
        </w:rPr>
        <w:t xml:space="preserve">¿Qué población integra el RUC?</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población objeto de estudio son las mujeres en situación de violencia doméstica, que se encuentran registradas por haber realizado la denuncia del hecho y/o por haber solicitado algún tipo de Abordaje (Judicial, legal, social, entre otras) por ellas mismas o un tercero (familiar o no) en algún área Mujer Departamental, en la Dirección de Género y Diversidad y Consejerías de Salud de la Universidad Nacional de Cuyo.</w:t>
      </w:r>
    </w:p>
    <w:p w:rsidR="00000000" w:rsidDel="00000000" w:rsidP="00000000" w:rsidRDefault="00000000" w:rsidRPr="00000000" w14:paraId="00000028">
      <w:pPr>
        <w:pStyle w:val="Heading3"/>
        <w:spacing w:before="152" w:lineRule="auto"/>
        <w:ind w:left="0" w:firstLine="0"/>
        <w:jc w:val="both"/>
        <w:rPr>
          <w:color w:val="7030a0"/>
        </w:rPr>
      </w:pPr>
      <w:r w:rsidDel="00000000" w:rsidR="00000000" w:rsidRPr="00000000">
        <w:rPr>
          <w:rFonts w:ascii="Calibri" w:cs="Calibri" w:eastAsia="Calibri" w:hAnsi="Calibri"/>
          <w:color w:val="7030a0"/>
          <w:rtl w:val="0"/>
        </w:rPr>
        <w:t xml:space="preserve">¿Cuál es el aporte del Registro único de casos RUC?</w:t>
      </w:r>
      <w:r w:rsidDel="00000000" w:rsidR="00000000" w:rsidRPr="00000000">
        <w:rPr>
          <w:rtl w:val="0"/>
        </w:rPr>
      </w:r>
    </w:p>
    <w:p w:rsidR="00000000" w:rsidDel="00000000" w:rsidP="00000000" w:rsidRDefault="00000000" w:rsidRPr="00000000" w14:paraId="00000029">
      <w:pPr>
        <w:pStyle w:val="Heading3"/>
        <w:spacing w:before="152" w:lineRule="auto"/>
        <w:ind w:lef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Disponer de datos oficiales y centralizados en un Registro único de casos permite dimensionar el fenómeno para la Sociedad en su conjunto y sumar de manera interinstitucional y orgánica a su erradicación.</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Otro gran contribución es ayudar a disminuir las brechas existentes entre las mujeres en situación de violencia y las que solicitan algún tipo de ayuda y/o efectúan la denuncia. Disminuir estas brechas contribuye al fortalecimiento de las mujeres para construir comportamientos críticos y de resistencia frente a todo tipo de violencias y la apropiación de sus derechos.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53"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Aspiramos a que este Registro Único de casos sea una herramienta que permita identificar los casos en que una misma mujer realiza más de una denuncia o solicitud de abordajes en el mismo Departamento o centro de atención. Y un objetivo de máxima es lograr trazar la ruta crítica por la que circulan las mujeres en situación de violencia doméstica desde que pueden o deciden solicitar algún tipo de intervención. Esto se refiere al recorrido que realizan las mujeres en esta situación por las distintas instancias en busca de una respuesta del Estado ya sea Provincial o Municipal.</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03"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otra de las grandes deudas a saldar es obtener la mayor  cobertura  geográfica Provincial, de la mayor cantidad de mujeres en situación de violencia doméstica en zonas urbanas y rurales de nuestra Provincia. Esa desagregación permitirá generar insumos para el diseño de políticas públicas en cada jurisdicción. La violencia para abordarla en todas sus dimensiones debe contextualizarse, de ahí la importancia en la ampliación de cobertura de la ficha RUC</w:t>
      </w:r>
    </w:p>
    <w:p w:rsidR="00000000" w:rsidDel="00000000" w:rsidP="00000000" w:rsidRDefault="00000000" w:rsidRPr="00000000" w14:paraId="0000002D">
      <w:pPr>
        <w:spacing w:before="147" w:lineRule="auto"/>
        <w:ind w:right="-4.593175853017328"/>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presente informe se ha elaborado teniendo en cuenta las limitaciones metodológicas que significa tener claro que el mismo </w:t>
      </w:r>
      <w:r w:rsidDel="00000000" w:rsidR="00000000" w:rsidRPr="00000000">
        <w:rPr>
          <w:rFonts w:ascii="Calibri" w:cs="Calibri" w:eastAsia="Calibri" w:hAnsi="Calibri"/>
          <w:i w:val="1"/>
          <w:color w:val="7030a0"/>
          <w:sz w:val="24"/>
          <w:szCs w:val="24"/>
          <w:rtl w:val="0"/>
        </w:rPr>
        <w:t xml:space="preserve">“no representa la totalidad de los casos de violencia doméstica de la Provincia” ni tampoco la “totalidad de  los casos de situaciones que han sido abordadas”</w:t>
      </w:r>
      <w:r w:rsidDel="00000000" w:rsidR="00000000" w:rsidRPr="00000000">
        <w:rPr>
          <w:rFonts w:ascii="Calibri" w:cs="Calibri" w:eastAsia="Calibri" w:hAnsi="Calibri"/>
          <w:color w:val="0066ff"/>
          <w:sz w:val="24"/>
          <w:szCs w:val="24"/>
          <w:rtl w:val="0"/>
        </w:rPr>
        <w:t xml:space="preserve">. </w:t>
      </w:r>
      <w:r w:rsidDel="00000000" w:rsidR="00000000" w:rsidRPr="00000000">
        <w:rPr>
          <w:rFonts w:ascii="Calibri" w:cs="Calibri" w:eastAsia="Calibri" w:hAnsi="Calibri"/>
          <w:sz w:val="24"/>
          <w:szCs w:val="24"/>
          <w:rtl w:val="0"/>
        </w:rPr>
        <w:t xml:space="preserve">No obstante ello el  mismo  sirve como una aproximación a la determinación de las situaciones y hechos que se presentan con mayor frecuencia en el universo de casos cargados y registrados.</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9317585301732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el año 2015, la Ficha RUC se cargaba en 10 Departamentos de Mendoza. En el año 20</w:t>
      </w:r>
      <w:r w:rsidDel="00000000" w:rsidR="00000000" w:rsidRPr="00000000">
        <w:rPr>
          <w:sz w:val="24"/>
          <w:szCs w:val="24"/>
          <w:rtl w:val="0"/>
        </w:rPr>
        <w:t xml:space="preserve">20</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 ha logrado que la Ficha R.U.C. se cargue en los 18 Departamentos de la </w:t>
      </w:r>
      <w:r w:rsidDel="00000000" w:rsidR="00000000" w:rsidRPr="00000000">
        <w:rPr>
          <w:sz w:val="24"/>
          <w:szCs w:val="24"/>
          <w:rtl w:val="0"/>
        </w:rPr>
        <w:t xml:space="preserve">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rovincia.</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449"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jc w:val="both"/>
        <w:rPr>
          <w:b w:val="1"/>
          <w:sz w:val="28"/>
          <w:szCs w:val="28"/>
          <w:vertAlign w:val="baseline"/>
        </w:rPr>
      </w:pPr>
      <w:r w:rsidDel="00000000" w:rsidR="00000000" w:rsidRPr="00000000">
        <w:rPr>
          <w:b w:val="1"/>
          <w:sz w:val="28"/>
          <w:szCs w:val="28"/>
          <w:vertAlign w:val="baseline"/>
          <w:rtl w:val="0"/>
        </w:rPr>
        <w:t xml:space="preserve">MUJERES EN </w:t>
      </w:r>
      <w:r w:rsidDel="00000000" w:rsidR="00000000" w:rsidRPr="00000000">
        <w:rPr>
          <w:b w:val="1"/>
          <w:sz w:val="28"/>
          <w:szCs w:val="28"/>
          <w:rtl w:val="0"/>
        </w:rPr>
        <w:t xml:space="preserve">SITUACIÓN</w:t>
      </w:r>
      <w:r w:rsidDel="00000000" w:rsidR="00000000" w:rsidRPr="00000000">
        <w:rPr>
          <w:b w:val="1"/>
          <w:sz w:val="28"/>
          <w:szCs w:val="28"/>
          <w:vertAlign w:val="baseline"/>
          <w:rtl w:val="0"/>
        </w:rPr>
        <w:t xml:space="preserve"> DE VIOLENCIA </w:t>
      </w:r>
      <w:r w:rsidDel="00000000" w:rsidR="00000000" w:rsidRPr="00000000">
        <w:rPr>
          <w:b w:val="1"/>
          <w:sz w:val="28"/>
          <w:szCs w:val="28"/>
          <w:rtl w:val="0"/>
        </w:rPr>
        <w:t xml:space="preserve">DOMÉSTICA</w:t>
      </w:r>
      <w:r w:rsidDel="00000000" w:rsidR="00000000" w:rsidRPr="00000000">
        <w:rPr>
          <w:b w:val="1"/>
          <w:sz w:val="28"/>
          <w:szCs w:val="28"/>
          <w:vertAlign w:val="baseline"/>
          <w:rtl w:val="0"/>
        </w:rPr>
        <w:t xml:space="preserve"> EN MENDOZA. REGISTRO </w:t>
      </w:r>
      <w:r w:rsidDel="00000000" w:rsidR="00000000" w:rsidRPr="00000000">
        <w:rPr>
          <w:b w:val="1"/>
          <w:sz w:val="28"/>
          <w:szCs w:val="28"/>
          <w:rtl w:val="0"/>
        </w:rPr>
        <w:t xml:space="preserve">Ú</w:t>
      </w:r>
      <w:r w:rsidDel="00000000" w:rsidR="00000000" w:rsidRPr="00000000">
        <w:rPr>
          <w:b w:val="1"/>
          <w:sz w:val="28"/>
          <w:szCs w:val="28"/>
          <w:vertAlign w:val="baseline"/>
          <w:rtl w:val="0"/>
        </w:rPr>
        <w:t xml:space="preserve">NICO DE CASOS (RUC).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ind w:right="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presente </w:t>
      </w:r>
      <w:r w:rsidDel="00000000" w:rsidR="00000000" w:rsidRPr="00000000">
        <w:rPr>
          <w:rFonts w:ascii="Calibri" w:cs="Calibri" w:eastAsia="Calibri" w:hAnsi="Calibri"/>
          <w:color w:val="000000"/>
          <w:sz w:val="24"/>
          <w:szCs w:val="24"/>
          <w:rtl w:val="0"/>
        </w:rPr>
        <w:t xml:space="preserve">informe </w:t>
      </w:r>
      <w:r w:rsidDel="00000000" w:rsidR="00000000" w:rsidRPr="00000000">
        <w:rPr>
          <w:color w:val="000000"/>
          <w:sz w:val="24"/>
          <w:szCs w:val="24"/>
          <w:rtl w:val="0"/>
        </w:rPr>
        <w:t xml:space="preserve">comprende los</w:t>
      </w:r>
      <w:r w:rsidDel="00000000" w:rsidR="00000000" w:rsidRPr="00000000">
        <w:rPr>
          <w:rFonts w:ascii="Calibri" w:cs="Calibri" w:eastAsia="Calibri" w:hAnsi="Calibri"/>
          <w:b w:val="1"/>
          <w:color w:val="000000"/>
          <w:sz w:val="24"/>
          <w:szCs w:val="24"/>
          <w:rtl w:val="0"/>
        </w:rPr>
        <w:t xml:space="preserve"> 706</w:t>
      </w:r>
      <w:r w:rsidDel="00000000" w:rsidR="00000000" w:rsidRPr="00000000">
        <w:rPr>
          <w:b w:val="1"/>
          <w:sz w:val="24"/>
          <w:szCs w:val="24"/>
          <w:rtl w:val="0"/>
        </w:rPr>
        <w:t xml:space="preserve"> </w:t>
      </w:r>
      <w:r w:rsidDel="00000000" w:rsidR="00000000" w:rsidRPr="00000000">
        <w:rPr>
          <w:rFonts w:ascii="Calibri" w:cs="Calibri" w:eastAsia="Calibri" w:hAnsi="Calibri"/>
          <w:b w:val="1"/>
          <w:color w:val="000000"/>
          <w:sz w:val="24"/>
          <w:szCs w:val="24"/>
          <w:rtl w:val="0"/>
        </w:rPr>
        <w:t xml:space="preserve">casos de mujeres que transitaron por situaciones de violencia doméstica registrados en sistema RUC, </w:t>
      </w:r>
      <w:r w:rsidDel="00000000" w:rsidR="00000000" w:rsidRPr="00000000">
        <w:rPr>
          <w:color w:val="000000"/>
          <w:sz w:val="24"/>
          <w:szCs w:val="24"/>
          <w:rtl w:val="0"/>
        </w:rPr>
        <w:t xml:space="preserve">durante los meses de</w:t>
      </w:r>
      <w:r w:rsidDel="00000000" w:rsidR="00000000" w:rsidRPr="00000000">
        <w:rPr>
          <w:rFonts w:ascii="Calibri" w:cs="Calibri" w:eastAsia="Calibri" w:hAnsi="Calibri"/>
          <w:b w:val="1"/>
          <w:color w:val="000000"/>
          <w:sz w:val="24"/>
          <w:szCs w:val="24"/>
          <w:rtl w:val="0"/>
        </w:rPr>
        <w:t xml:space="preserve"> enero, febrero y marzo de 20</w:t>
      </w:r>
      <w:r w:rsidDel="00000000" w:rsidR="00000000" w:rsidRPr="00000000">
        <w:rPr>
          <w:b w:val="1"/>
          <w:sz w:val="24"/>
          <w:szCs w:val="24"/>
          <w:rtl w:val="0"/>
        </w:rPr>
        <w:t xml:space="preserve">20</w:t>
      </w:r>
      <w:r w:rsidDel="00000000" w:rsidR="00000000" w:rsidRPr="00000000">
        <w:rPr>
          <w:rFonts w:ascii="Calibri" w:cs="Calibri" w:eastAsia="Calibri" w:hAnsi="Calibri"/>
          <w:b w:val="1"/>
          <w:color w:val="000000"/>
          <w:sz w:val="24"/>
          <w:szCs w:val="24"/>
          <w:rtl w:val="0"/>
        </w:rPr>
        <w:t xml:space="preserve">, </w:t>
      </w:r>
      <w:r w:rsidDel="00000000" w:rsidR="00000000" w:rsidRPr="00000000">
        <w:rPr>
          <w:color w:val="000000"/>
          <w:sz w:val="24"/>
          <w:szCs w:val="24"/>
          <w:rtl w:val="0"/>
        </w:rPr>
        <w:t xml:space="preserve">según informes enviados por los Municipios.</w:t>
      </w:r>
      <w:r w:rsidDel="00000000" w:rsidR="00000000" w:rsidRPr="00000000">
        <w:rPr>
          <w:rFonts w:ascii="Calibri" w:cs="Calibri" w:eastAsia="Calibri" w:hAnsi="Calibri"/>
          <w:sz w:val="24"/>
          <w:szCs w:val="24"/>
          <w:rtl w:val="0"/>
        </w:rPr>
        <w:t xml:space="preserve"> Siendo los Departamentos de</w:t>
      </w:r>
      <w:r w:rsidDel="00000000" w:rsidR="00000000" w:rsidRPr="00000000">
        <w:rPr>
          <w:b w:val="1"/>
          <w:sz w:val="24"/>
          <w:szCs w:val="24"/>
          <w:rtl w:val="0"/>
        </w:rPr>
        <w:t xml:space="preserve"> San Rafael, Maipú, San Martín y Las Heras</w:t>
      </w:r>
      <w:r w:rsidDel="00000000" w:rsidR="00000000" w:rsidRPr="00000000">
        <w:rPr>
          <w:sz w:val="24"/>
          <w:szCs w:val="24"/>
          <w:rtl w:val="0"/>
        </w:rPr>
        <w:t xml:space="preserve">,  quienes  recibieron en sus áreas y registraron los abordajes de la mayor cantidad de </w:t>
      </w:r>
      <w:r w:rsidDel="00000000" w:rsidR="00000000" w:rsidRPr="00000000">
        <w:rPr>
          <w:rFonts w:ascii="Calibri" w:cs="Calibri" w:eastAsia="Calibri" w:hAnsi="Calibri"/>
          <w:sz w:val="24"/>
          <w:szCs w:val="24"/>
          <w:rtl w:val="0"/>
        </w:rPr>
        <w:t xml:space="preserve">personas en situación de violencia.</w:t>
      </w:r>
    </w:p>
    <w:p w:rsidR="00000000" w:rsidDel="00000000" w:rsidP="00000000" w:rsidRDefault="00000000" w:rsidRPr="00000000" w14:paraId="00000034">
      <w:pPr>
        <w:ind w:right="0"/>
        <w:jc w:val="both"/>
        <w:rPr>
          <w:sz w:val="24"/>
          <w:szCs w:val="24"/>
        </w:rPr>
      </w:pPr>
      <w:r w:rsidDel="00000000" w:rsidR="00000000" w:rsidRPr="00000000">
        <w:rPr>
          <w:rtl w:val="0"/>
        </w:rPr>
      </w:r>
    </w:p>
    <w:p w:rsidR="00000000" w:rsidDel="00000000" w:rsidP="00000000" w:rsidRDefault="00000000" w:rsidRPr="00000000" w14:paraId="00000035">
      <w:pPr>
        <w:ind w:right="0"/>
        <w:jc w:val="both"/>
        <w:rPr>
          <w:sz w:val="24"/>
          <w:szCs w:val="24"/>
        </w:rPr>
      </w:pPr>
      <w:r w:rsidDel="00000000" w:rsidR="00000000" w:rsidRPr="00000000">
        <w:rPr>
          <w:sz w:val="24"/>
          <w:szCs w:val="24"/>
        </w:rPr>
        <w:drawing>
          <wp:inline distB="114300" distT="114300" distL="114300" distR="114300">
            <wp:extent cx="6191250" cy="2628900"/>
            <wp:effectExtent b="0" l="0" r="0" t="0"/>
            <wp:docPr descr="Gráfico" id="3" name="image3.png"/>
            <a:graphic>
              <a:graphicData uri="http://schemas.openxmlformats.org/drawingml/2006/picture">
                <pic:pic>
                  <pic:nvPicPr>
                    <pic:cNvPr descr="Gráfico" id="0" name="image3.png"/>
                    <pic:cNvPicPr preferRelativeResize="0"/>
                  </pic:nvPicPr>
                  <pic:blipFill>
                    <a:blip r:embed="rId9"/>
                    <a:srcRect b="0" l="0" r="0" t="0"/>
                    <a:stretch>
                      <a:fillRect/>
                    </a:stretch>
                  </pic:blipFill>
                  <pic:spPr>
                    <a:xfrm>
                      <a:off x="0" y="0"/>
                      <a:ext cx="619125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2"/>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Fuente: </w:t>
      </w:r>
      <w:r w:rsidDel="00000000" w:rsidR="00000000" w:rsidRPr="00000000">
        <w:rPr>
          <w:sz w:val="20"/>
          <w:szCs w:val="20"/>
          <w:rtl w:val="0"/>
        </w:rPr>
        <w:t xml:space="preserv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laborado por Observatorio de Género y Diversidad de la Dirección de Género y Diversidad, Ministerio de Salud, Desarrollo Social y Deportes, sobre la base de datos del RUC. Mendoza. Mayo</w:t>
      </w:r>
      <w:r w:rsidDel="00000000" w:rsidR="00000000" w:rsidRPr="00000000">
        <w:rPr>
          <w:sz w:val="20"/>
          <w:szCs w:val="20"/>
          <w:rtl w:val="0"/>
        </w:rPr>
        <w:t xml:space="preserve">, 2020.</w:t>
      </w:r>
      <w:r w:rsidDel="00000000" w:rsidR="00000000" w:rsidRPr="00000000">
        <w:rPr>
          <w:rtl w:val="0"/>
        </w:rPr>
      </w:r>
    </w:p>
    <w:p w:rsidR="00000000" w:rsidDel="00000000" w:rsidP="00000000" w:rsidRDefault="00000000" w:rsidRPr="00000000" w14:paraId="00000037">
      <w:pPr>
        <w:ind w:right="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ind w:right="0"/>
        <w:jc w:val="both"/>
        <w:rPr>
          <w:sz w:val="24"/>
          <w:szCs w:val="24"/>
        </w:rPr>
      </w:pPr>
      <w:r w:rsidDel="00000000" w:rsidR="00000000" w:rsidRPr="00000000">
        <w:rPr>
          <w:rtl w:val="0"/>
        </w:rPr>
      </w:r>
    </w:p>
    <w:p w:rsidR="00000000" w:rsidDel="00000000" w:rsidP="00000000" w:rsidRDefault="00000000" w:rsidRPr="00000000" w14:paraId="00000039">
      <w:pPr>
        <w:ind w:right="0"/>
        <w:jc w:val="both"/>
        <w:rPr>
          <w:sz w:val="24"/>
          <w:szCs w:val="24"/>
        </w:rPr>
      </w:pPr>
      <w:r w:rsidDel="00000000" w:rsidR="00000000" w:rsidRPr="00000000">
        <w:rPr>
          <w:rtl w:val="0"/>
        </w:rPr>
      </w:r>
    </w:p>
    <w:p w:rsidR="00000000" w:rsidDel="00000000" w:rsidP="00000000" w:rsidRDefault="00000000" w:rsidRPr="00000000" w14:paraId="0000003A">
      <w:pPr>
        <w:tabs>
          <w:tab w:val="left" w:pos="8755"/>
        </w:tabs>
        <w:ind w:left="0" w:firstLine="0"/>
        <w:jc w:val="both"/>
        <w:rPr>
          <w:b w:val="1"/>
          <w:sz w:val="28"/>
          <w:szCs w:val="28"/>
        </w:rPr>
      </w:pPr>
      <w:r w:rsidDel="00000000" w:rsidR="00000000" w:rsidRPr="00000000">
        <w:rPr>
          <w:b w:val="1"/>
          <w:sz w:val="28"/>
          <w:szCs w:val="28"/>
          <w:rtl w:val="0"/>
        </w:rPr>
        <w:t xml:space="preserve">Edad de las mujeres en Situación de Violencia doméstica</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708"/>
        <w:jc w:val="both"/>
        <w:rPr>
          <w:b w:val="1"/>
          <w:sz w:val="24"/>
          <w:szCs w:val="24"/>
        </w:rPr>
      </w:pPr>
      <w:r w:rsidDel="00000000" w:rsidR="00000000" w:rsidRPr="00000000">
        <w:rPr>
          <w:rtl w:val="0"/>
        </w:rPr>
      </w:r>
    </w:p>
    <w:p w:rsidR="00000000" w:rsidDel="00000000" w:rsidP="00000000" w:rsidRDefault="00000000" w:rsidRPr="00000000" w14:paraId="0000003C">
      <w:pPr>
        <w:spacing w:before="6" w:lineRule="auto"/>
        <w:ind w:firstLine="708"/>
        <w:jc w:val="both"/>
        <w:rPr>
          <w:b w:val="1"/>
          <w:sz w:val="24"/>
          <w:szCs w:val="24"/>
        </w:rPr>
      </w:pPr>
      <w:r w:rsidDel="00000000" w:rsidR="00000000" w:rsidRPr="00000000">
        <w:rPr>
          <w:sz w:val="24"/>
          <w:szCs w:val="24"/>
          <w:rtl w:val="0"/>
        </w:rPr>
        <w:t xml:space="preserve">Podemos observar que entre los casos registrados, ya sea en Áreas Mujer Departamentales, en la Dirección de Género y Diversidad o Consejerías de Salud de la Universidad Nacional de Cuyo, el rango etario con mayor cantidad de denuncias es el que va desde los 25 a 34 años (221 casos), seguido del grupo que va de 35 a 44 años (156 casos), y en tercer lugar, el grupo de 15 a 24 años (115 casos).</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708"/>
        <w:jc w:val="both"/>
        <w:rPr>
          <w:b w:val="1"/>
          <w:sz w:val="24"/>
          <w:szCs w:val="24"/>
        </w:rPr>
      </w:pPr>
      <w:r w:rsidDel="00000000" w:rsidR="00000000" w:rsidRPr="00000000">
        <w:rPr>
          <w:b w:val="1"/>
          <w:sz w:val="24"/>
          <w:szCs w:val="24"/>
        </w:rPr>
        <w:drawing>
          <wp:inline distB="114300" distT="114300" distL="114300" distR="114300">
            <wp:extent cx="5618930" cy="3337560"/>
            <wp:effectExtent b="0" l="0" r="0" t="0"/>
            <wp:docPr descr="Gráfico" id="5" name="image5.png"/>
            <a:graphic>
              <a:graphicData uri="http://schemas.openxmlformats.org/drawingml/2006/picture">
                <pic:pic>
                  <pic:nvPicPr>
                    <pic:cNvPr descr="Gráfico" id="0" name="image5.png"/>
                    <pic:cNvPicPr preferRelativeResize="0"/>
                  </pic:nvPicPr>
                  <pic:blipFill>
                    <a:blip r:embed="rId10"/>
                    <a:srcRect b="0" l="0" r="0" t="0"/>
                    <a:stretch>
                      <a:fillRect/>
                    </a:stretch>
                  </pic:blipFill>
                  <pic:spPr>
                    <a:xfrm>
                      <a:off x="0" y="0"/>
                      <a:ext cx="5618930" cy="333756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ind w:firstLine="222"/>
        <w:jc w:val="both"/>
        <w:rPr>
          <w:b w:val="1"/>
          <w:sz w:val="24"/>
          <w:szCs w:val="24"/>
        </w:rPr>
      </w:pPr>
      <w:r w:rsidDel="00000000" w:rsidR="00000000" w:rsidRPr="00000000">
        <w:rPr>
          <w:sz w:val="20"/>
          <w:szCs w:val="20"/>
          <w:rtl w:val="0"/>
        </w:rPr>
        <w:tab/>
        <w:tab/>
      </w:r>
      <w:r w:rsidDel="00000000" w:rsidR="00000000" w:rsidRPr="00000000">
        <w:rPr>
          <w:rtl w:val="0"/>
        </w:rPr>
      </w:r>
    </w:p>
    <w:tbl>
      <w:tblPr>
        <w:tblStyle w:val="Table1"/>
        <w:tblW w:w="330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40"/>
        <w:gridCol w:w="1260"/>
        <w:tblGridChange w:id="0">
          <w:tblGrid>
            <w:gridCol w:w="2040"/>
            <w:gridCol w:w="1260"/>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ead1dc" w:val="clear"/>
            <w:tcMar>
              <w:top w:w="0.0" w:type="dxa"/>
              <w:left w:w="40.0" w:type="dxa"/>
              <w:bottom w:w="0.0" w:type="dxa"/>
              <w:right w:w="40.0" w:type="dxa"/>
            </w:tcMar>
            <w:vAlign w:val="bottom"/>
          </w:tcPr>
          <w:p w:rsidR="00000000" w:rsidDel="00000000" w:rsidP="00000000" w:rsidRDefault="00000000" w:rsidRPr="00000000" w14:paraId="0000003F">
            <w:pPr>
              <w:spacing w:line="276" w:lineRule="auto"/>
              <w:jc w:val="both"/>
              <w:rPr>
                <w:sz w:val="20"/>
                <w:szCs w:val="20"/>
              </w:rPr>
            </w:pPr>
            <w:r w:rsidDel="00000000" w:rsidR="00000000" w:rsidRPr="00000000">
              <w:rPr>
                <w:b w:val="1"/>
                <w:rtl w:val="0"/>
              </w:rPr>
              <w:t xml:space="preserve">Edades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ead1dc" w:val="clear"/>
            <w:tcMar>
              <w:top w:w="0.0" w:type="dxa"/>
              <w:left w:w="40.0" w:type="dxa"/>
              <w:bottom w:w="0.0" w:type="dxa"/>
              <w:right w:w="40.0" w:type="dxa"/>
            </w:tcMar>
            <w:vAlign w:val="bottom"/>
          </w:tcPr>
          <w:p w:rsidR="00000000" w:rsidDel="00000000" w:rsidP="00000000" w:rsidRDefault="00000000" w:rsidRPr="00000000" w14:paraId="00000040">
            <w:pPr>
              <w:spacing w:line="276" w:lineRule="auto"/>
              <w:jc w:val="both"/>
              <w:rPr>
                <w:sz w:val="20"/>
                <w:szCs w:val="20"/>
              </w:rPr>
            </w:pPr>
            <w:r w:rsidDel="00000000" w:rsidR="00000000" w:rsidRPr="00000000">
              <w:rPr>
                <w:b w:val="1"/>
                <w:rtl w:val="0"/>
              </w:rPr>
              <w:t xml:space="preserve">Casos</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1">
            <w:pPr>
              <w:spacing w:line="276" w:lineRule="auto"/>
              <w:jc w:val="both"/>
              <w:rPr>
                <w:sz w:val="20"/>
                <w:szCs w:val="20"/>
              </w:rPr>
            </w:pPr>
            <w:r w:rsidDel="00000000" w:rsidR="00000000" w:rsidRPr="00000000">
              <w:rPr>
                <w:rtl w:val="0"/>
              </w:rPr>
              <w:t xml:space="preserve">15 a 24 años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2">
            <w:pPr>
              <w:spacing w:line="276" w:lineRule="auto"/>
              <w:jc w:val="both"/>
              <w:rPr>
                <w:sz w:val="20"/>
                <w:szCs w:val="20"/>
              </w:rPr>
            </w:pPr>
            <w:r w:rsidDel="00000000" w:rsidR="00000000" w:rsidRPr="00000000">
              <w:rPr>
                <w:rtl w:val="0"/>
              </w:rPr>
              <w:t xml:space="preserve">115</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3">
            <w:pPr>
              <w:spacing w:line="276" w:lineRule="auto"/>
              <w:jc w:val="both"/>
              <w:rPr>
                <w:sz w:val="20"/>
                <w:szCs w:val="20"/>
              </w:rPr>
            </w:pPr>
            <w:r w:rsidDel="00000000" w:rsidR="00000000" w:rsidRPr="00000000">
              <w:rPr>
                <w:rtl w:val="0"/>
              </w:rPr>
              <w:t xml:space="preserve">25 a 34 años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4">
            <w:pPr>
              <w:spacing w:line="276" w:lineRule="auto"/>
              <w:jc w:val="both"/>
              <w:rPr>
                <w:sz w:val="20"/>
                <w:szCs w:val="20"/>
              </w:rPr>
            </w:pPr>
            <w:r w:rsidDel="00000000" w:rsidR="00000000" w:rsidRPr="00000000">
              <w:rPr>
                <w:rtl w:val="0"/>
              </w:rPr>
              <w:t xml:space="preserve">221</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5">
            <w:pPr>
              <w:spacing w:line="276" w:lineRule="auto"/>
              <w:jc w:val="both"/>
              <w:rPr>
                <w:sz w:val="20"/>
                <w:szCs w:val="20"/>
              </w:rPr>
            </w:pPr>
            <w:r w:rsidDel="00000000" w:rsidR="00000000" w:rsidRPr="00000000">
              <w:rPr>
                <w:rtl w:val="0"/>
              </w:rPr>
              <w:t xml:space="preserve">35 a 44 años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6">
            <w:pPr>
              <w:spacing w:line="276" w:lineRule="auto"/>
              <w:jc w:val="both"/>
              <w:rPr>
                <w:sz w:val="20"/>
                <w:szCs w:val="20"/>
              </w:rPr>
            </w:pPr>
            <w:r w:rsidDel="00000000" w:rsidR="00000000" w:rsidRPr="00000000">
              <w:rPr>
                <w:rtl w:val="0"/>
              </w:rPr>
              <w:t xml:space="preserve">156</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7">
            <w:pPr>
              <w:spacing w:line="276" w:lineRule="auto"/>
              <w:jc w:val="both"/>
              <w:rPr>
                <w:sz w:val="20"/>
                <w:szCs w:val="20"/>
              </w:rPr>
            </w:pPr>
            <w:r w:rsidDel="00000000" w:rsidR="00000000" w:rsidRPr="00000000">
              <w:rPr>
                <w:rtl w:val="0"/>
              </w:rPr>
              <w:t xml:space="preserve">45 a 54 años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8">
            <w:pPr>
              <w:spacing w:line="276" w:lineRule="auto"/>
              <w:jc w:val="both"/>
              <w:rPr>
                <w:sz w:val="20"/>
                <w:szCs w:val="20"/>
              </w:rPr>
            </w:pPr>
            <w:r w:rsidDel="00000000" w:rsidR="00000000" w:rsidRPr="00000000">
              <w:rPr>
                <w:rtl w:val="0"/>
              </w:rPr>
              <w:t xml:space="preserve">103</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9">
            <w:pPr>
              <w:spacing w:line="276" w:lineRule="auto"/>
              <w:jc w:val="both"/>
              <w:rPr>
                <w:sz w:val="20"/>
                <w:szCs w:val="20"/>
              </w:rPr>
            </w:pPr>
            <w:r w:rsidDel="00000000" w:rsidR="00000000" w:rsidRPr="00000000">
              <w:rPr>
                <w:rtl w:val="0"/>
              </w:rPr>
              <w:t xml:space="preserve">55 años y más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A">
            <w:pPr>
              <w:spacing w:line="276" w:lineRule="auto"/>
              <w:jc w:val="both"/>
              <w:rPr>
                <w:sz w:val="20"/>
                <w:szCs w:val="20"/>
              </w:rPr>
            </w:pPr>
            <w:r w:rsidDel="00000000" w:rsidR="00000000" w:rsidRPr="00000000">
              <w:rPr>
                <w:rtl w:val="0"/>
              </w:rPr>
              <w:t xml:space="preserve">54</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B">
            <w:pPr>
              <w:spacing w:line="276" w:lineRule="auto"/>
              <w:jc w:val="both"/>
              <w:rPr>
                <w:sz w:val="20"/>
                <w:szCs w:val="20"/>
              </w:rPr>
            </w:pPr>
            <w:r w:rsidDel="00000000" w:rsidR="00000000" w:rsidRPr="00000000">
              <w:rPr>
                <w:rtl w:val="0"/>
              </w:rPr>
              <w:t xml:space="preserve">S/D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C">
            <w:pPr>
              <w:spacing w:line="276" w:lineRule="auto"/>
              <w:jc w:val="both"/>
              <w:rPr>
                <w:sz w:val="20"/>
                <w:szCs w:val="20"/>
              </w:rPr>
            </w:pPr>
            <w:r w:rsidDel="00000000" w:rsidR="00000000" w:rsidRPr="00000000">
              <w:rPr>
                <w:rtl w:val="0"/>
              </w:rPr>
              <w:t xml:space="preserve">57</w:t>
            </w:r>
            <w:r w:rsidDel="00000000" w:rsidR="00000000" w:rsidRPr="00000000">
              <w:rPr>
                <w:rtl w:val="0"/>
              </w:rPr>
            </w:r>
          </w:p>
        </w:tc>
      </w:tr>
      <w:tr>
        <w:trPr>
          <w:trHeight w:val="300" w:hRule="atLeast"/>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D">
            <w:pPr>
              <w:spacing w:line="276" w:lineRule="auto"/>
              <w:jc w:val="both"/>
              <w:rPr>
                <w:sz w:val="20"/>
                <w:szCs w:val="20"/>
              </w:rPr>
            </w:pPr>
            <w:r w:rsidDel="00000000" w:rsidR="00000000" w:rsidRPr="00000000">
              <w:rPr>
                <w:b w:val="1"/>
                <w:rtl w:val="0"/>
              </w:rPr>
              <w:t xml:space="preserve">Total general: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4E">
            <w:pPr>
              <w:spacing w:line="276" w:lineRule="auto"/>
              <w:jc w:val="both"/>
              <w:rPr>
                <w:sz w:val="20"/>
                <w:szCs w:val="20"/>
              </w:rPr>
            </w:pPr>
            <w:r w:rsidDel="00000000" w:rsidR="00000000" w:rsidRPr="00000000">
              <w:rPr>
                <w:b w:val="1"/>
                <w:rtl w:val="0"/>
              </w:rPr>
              <w:t xml:space="preserve">706</w:t>
            </w:r>
            <w:r w:rsidDel="00000000" w:rsidR="00000000" w:rsidRPr="00000000">
              <w:rPr>
                <w:rtl w:val="0"/>
              </w:rPr>
            </w:r>
          </w:p>
        </w:tc>
      </w:tr>
    </w:tbl>
    <w:p w:rsidR="00000000" w:rsidDel="00000000" w:rsidP="00000000" w:rsidRDefault="00000000" w:rsidRPr="00000000" w14:paraId="0000004F">
      <w:pPr>
        <w:ind w:left="1700.787401574803" w:firstLine="225"/>
        <w:jc w:val="both"/>
        <w:rPr>
          <w:sz w:val="20"/>
          <w:szCs w:val="20"/>
        </w:rPr>
      </w:pPr>
      <w:r w:rsidDel="00000000" w:rsidR="00000000" w:rsidRPr="00000000">
        <w:rPr>
          <w:rtl w:val="0"/>
        </w:rPr>
      </w:r>
    </w:p>
    <w:p w:rsidR="00000000" w:rsidDel="00000000" w:rsidP="00000000" w:rsidRDefault="00000000" w:rsidRPr="00000000" w14:paraId="00000050">
      <w:pPr>
        <w:ind w:firstLine="222"/>
        <w:jc w:val="both"/>
        <w:rPr>
          <w:b w:val="1"/>
          <w:sz w:val="24"/>
          <w:szCs w:val="24"/>
        </w:rPr>
      </w:pPr>
      <w:r w:rsidDel="00000000" w:rsidR="00000000" w:rsidRPr="00000000">
        <w:rPr>
          <w:sz w:val="20"/>
          <w:szCs w:val="20"/>
          <w:rtl w:val="0"/>
        </w:rPr>
        <w:t xml:space="preserve">Fuente: Elaborado por Observatorio de Género y Diversidad de la Dirección de Género y Diversidad, Ministerio de Salud, Desarrollo Social y Deportes, sobre la base de datos del RUC. Mendoza. Mayo, 2020.</w:t>
      </w:r>
      <w:r w:rsidDel="00000000" w:rsidR="00000000" w:rsidRPr="00000000">
        <w:rPr>
          <w:rtl w:val="0"/>
        </w:rPr>
      </w:r>
    </w:p>
    <w:p w:rsidR="00000000" w:rsidDel="00000000" w:rsidP="00000000" w:rsidRDefault="00000000" w:rsidRPr="00000000" w14:paraId="00000051">
      <w:pPr>
        <w:spacing w:before="6" w:lineRule="auto"/>
        <w:jc w:val="both"/>
        <w:rPr>
          <w:b w:val="1"/>
          <w:sz w:val="24"/>
          <w:szCs w:val="24"/>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708"/>
        <w:jc w:val="both"/>
        <w:rPr>
          <w:sz w:val="28"/>
          <w:szCs w:val="28"/>
        </w:rPr>
      </w:pPr>
      <w:r w:rsidDel="00000000" w:rsidR="00000000" w:rsidRPr="00000000">
        <w:rPr>
          <w:rtl w:val="0"/>
        </w:rPr>
      </w:r>
    </w:p>
    <w:p w:rsidR="00000000" w:rsidDel="00000000" w:rsidP="00000000" w:rsidRDefault="00000000" w:rsidRPr="00000000" w14:paraId="00000053">
      <w:pPr>
        <w:tabs>
          <w:tab w:val="left" w:pos="8755"/>
        </w:tabs>
        <w:ind w:left="0" w:firstLine="0"/>
        <w:jc w:val="both"/>
        <w:rPr>
          <w:b w:val="1"/>
          <w:sz w:val="28"/>
          <w:szCs w:val="28"/>
        </w:rPr>
      </w:pPr>
      <w:r w:rsidDel="00000000" w:rsidR="00000000" w:rsidRPr="00000000">
        <w:rPr>
          <w:b w:val="1"/>
          <w:sz w:val="28"/>
          <w:szCs w:val="28"/>
          <w:rtl w:val="0"/>
        </w:rPr>
        <w:t xml:space="preserve">Vínculo con el agresor</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90" w:line="240" w:lineRule="auto"/>
        <w:ind w:left="0" w:right="14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variable por demás significativa en orden analizar la violencia doméstica es el vínculo de la persona en situación de violencia doméstica con el agresor. En </w:t>
      </w:r>
      <w:r w:rsidDel="00000000" w:rsidR="00000000" w:rsidRPr="00000000">
        <w:rPr>
          <w:sz w:val="24"/>
          <w:szCs w:val="24"/>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datos relevados en el presente informe, se puede apreciar que </w:t>
      </w:r>
      <w:r w:rsidDel="00000000" w:rsidR="00000000" w:rsidRPr="00000000">
        <w:rPr>
          <w:sz w:val="24"/>
          <w:szCs w:val="24"/>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mayo</w:t>
      </w:r>
      <w:r w:rsidDel="00000000" w:rsidR="00000000" w:rsidRPr="00000000">
        <w:rPr>
          <w:sz w:val="24"/>
          <w:szCs w:val="24"/>
          <w:rtl w:val="0"/>
        </w:rPr>
        <w:t xml:space="preserve">r cantidad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mujeres que sufren violencia es por parte de su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 pareja conviviente (235 ca</w:t>
      </w:r>
      <w:r w:rsidDel="00000000" w:rsidR="00000000" w:rsidRPr="00000000">
        <w:rPr>
          <w:b w:val="1"/>
          <w:sz w:val="24"/>
          <w:szCs w:val="24"/>
          <w:rtl w:val="0"/>
        </w:rPr>
        <w:t xml:space="preserve">sos)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cónyuge (161)</w:t>
      </w:r>
      <w:r w:rsidDel="00000000" w:rsidR="00000000" w:rsidRPr="00000000">
        <w:rPr>
          <w:sz w:val="24"/>
          <w:szCs w:val="24"/>
          <w:rtl w:val="0"/>
        </w:rPr>
        <w:t xml:space="preserve"> y en tercer lugar,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pareja conviviente (82).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observa que el mayor volumen de casos corresponde a </w:t>
      </w:r>
      <w:r w:rsidDel="00000000" w:rsidR="00000000" w:rsidRPr="00000000">
        <w:rPr>
          <w:sz w:val="24"/>
          <w:szCs w:val="24"/>
          <w:rtl w:val="0"/>
        </w:rPr>
        <w:t xml:space="preserv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pareja conviviente y cónyuges. Esto refuerza la idea de que la situación de violencia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se agota con la separación del agresor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sino que por el contrario, persiste y se agudiza.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both"/>
        <w:rPr>
          <w:sz w:val="24"/>
          <w:szCs w:val="24"/>
        </w:rPr>
      </w:pPr>
      <w:r w:rsidDel="00000000" w:rsidR="00000000" w:rsidRPr="00000000">
        <w:rPr>
          <w:sz w:val="24"/>
          <w:szCs w:val="24"/>
        </w:rPr>
        <w:drawing>
          <wp:inline distB="114300" distT="114300" distL="114300" distR="114300">
            <wp:extent cx="6302117" cy="3898900"/>
            <wp:effectExtent b="0" l="0" r="0" t="0"/>
            <wp:docPr descr="Gráfico" id="1" name="image4.png"/>
            <a:graphic>
              <a:graphicData uri="http://schemas.openxmlformats.org/drawingml/2006/picture">
                <pic:pic>
                  <pic:nvPicPr>
                    <pic:cNvPr descr="Gráfico" id="0" name="image4.png"/>
                    <pic:cNvPicPr preferRelativeResize="0"/>
                  </pic:nvPicPr>
                  <pic:blipFill>
                    <a:blip r:embed="rId11"/>
                    <a:srcRect b="0" l="0" r="0" t="0"/>
                    <a:stretch>
                      <a:fillRect/>
                    </a:stretch>
                  </pic:blipFill>
                  <pic:spPr>
                    <a:xfrm>
                      <a:off x="0" y="0"/>
                      <a:ext cx="6302117" cy="38989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52" w:line="240" w:lineRule="auto"/>
        <w:ind w:left="0" w:right="0" w:firstLine="0"/>
        <w:jc w:val="both"/>
        <w:rPr>
          <w:sz w:val="24"/>
          <w:szCs w:val="24"/>
        </w:rPr>
      </w:pPr>
      <w:r w:rsidDel="00000000" w:rsidR="00000000" w:rsidRPr="00000000">
        <w:rPr>
          <w:rtl w:val="0"/>
        </w:rPr>
      </w:r>
    </w:p>
    <w:tbl>
      <w:tblPr>
        <w:tblStyle w:val="Table2"/>
        <w:tblW w:w="424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1125"/>
        <w:tblGridChange w:id="0">
          <w:tblGrid>
            <w:gridCol w:w="3120"/>
            <w:gridCol w:w="1125"/>
          </w:tblGrid>
        </w:tblGridChange>
      </w:tblGrid>
      <w:tr>
        <w:trPr>
          <w:trHeight w:val="285" w:hRule="atLeast"/>
        </w:trPr>
        <w:tc>
          <w:tcPr>
            <w:tcBorders>
              <w:top w:color="000000" w:space="0" w:sz="6" w:val="single"/>
              <w:left w:color="000000" w:space="0" w:sz="6" w:val="single"/>
              <w:bottom w:color="000000" w:space="0" w:sz="4"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8">
            <w:pPr>
              <w:spacing w:line="276" w:lineRule="auto"/>
              <w:rPr>
                <w:b w:val="1"/>
                <w:sz w:val="20"/>
                <w:szCs w:val="20"/>
              </w:rPr>
            </w:pPr>
            <w:r w:rsidDel="00000000" w:rsidR="00000000" w:rsidRPr="00000000">
              <w:rPr>
                <w:b w:val="1"/>
                <w:rtl w:val="0"/>
              </w:rPr>
              <w:t xml:space="preserve">Vínculo con el agresor</w:t>
            </w:r>
            <w:r w:rsidDel="00000000" w:rsidR="00000000" w:rsidRPr="00000000">
              <w:rPr>
                <w:rtl w:val="0"/>
              </w:rPr>
            </w:r>
          </w:p>
        </w:tc>
        <w:tc>
          <w:tcPr>
            <w:tcBorders>
              <w:top w:color="000000" w:space="0" w:sz="6" w:val="single"/>
              <w:left w:color="cccccc" w:space="0" w:sz="6" w:val="single"/>
              <w:bottom w:color="000000" w:space="0" w:sz="4"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9">
            <w:pPr>
              <w:spacing w:line="276" w:lineRule="auto"/>
              <w:rPr>
                <w:b w:val="1"/>
                <w:sz w:val="20"/>
                <w:szCs w:val="20"/>
              </w:rPr>
            </w:pPr>
            <w:r w:rsidDel="00000000" w:rsidR="00000000" w:rsidRPr="00000000">
              <w:rPr>
                <w:b w:val="1"/>
                <w:rtl w:val="0"/>
              </w:rPr>
              <w:t xml:space="preserve">Casos</w:t>
            </w:r>
            <w:r w:rsidDel="00000000" w:rsidR="00000000" w:rsidRPr="00000000">
              <w:rPr>
                <w:rtl w:val="0"/>
              </w:rPr>
            </w:r>
          </w:p>
        </w:tc>
      </w:tr>
      <w:tr>
        <w:trPr>
          <w:trHeight w:val="285" w:hRule="atLeast"/>
        </w:trPr>
        <w:tc>
          <w:tcPr>
            <w:tcBorders>
              <w:top w:color="000000" w:space="0" w:sz="4"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5A">
            <w:pPr>
              <w:spacing w:line="276" w:lineRule="auto"/>
              <w:rPr>
                <w:sz w:val="20"/>
                <w:szCs w:val="20"/>
              </w:rPr>
            </w:pPr>
            <w:r w:rsidDel="00000000" w:rsidR="00000000" w:rsidRPr="00000000">
              <w:rPr>
                <w:rtl w:val="0"/>
              </w:rPr>
              <w:t xml:space="preserve">a.Cónyuge</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B">
            <w:pPr>
              <w:spacing w:line="276" w:lineRule="auto"/>
              <w:jc w:val="right"/>
              <w:rPr>
                <w:sz w:val="20"/>
                <w:szCs w:val="20"/>
              </w:rPr>
            </w:pPr>
            <w:r w:rsidDel="00000000" w:rsidR="00000000" w:rsidRPr="00000000">
              <w:rPr>
                <w:rtl w:val="0"/>
              </w:rPr>
              <w:t xml:space="preserve">161</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5C">
            <w:pPr>
              <w:spacing w:line="276" w:lineRule="auto"/>
              <w:rPr>
                <w:sz w:val="20"/>
                <w:szCs w:val="20"/>
              </w:rPr>
            </w:pPr>
            <w:r w:rsidDel="00000000" w:rsidR="00000000" w:rsidRPr="00000000">
              <w:rPr>
                <w:rtl w:val="0"/>
              </w:rPr>
              <w:t xml:space="preserve">b.Ex cónyuge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D">
            <w:pPr>
              <w:spacing w:line="276" w:lineRule="auto"/>
              <w:jc w:val="right"/>
              <w:rPr>
                <w:sz w:val="20"/>
                <w:szCs w:val="20"/>
              </w:rPr>
            </w:pPr>
            <w:r w:rsidDel="00000000" w:rsidR="00000000" w:rsidRPr="00000000">
              <w:rPr>
                <w:rtl w:val="0"/>
              </w:rPr>
              <w:t xml:space="preserve">80</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5E">
            <w:pPr>
              <w:spacing w:line="276" w:lineRule="auto"/>
              <w:rPr>
                <w:sz w:val="20"/>
                <w:szCs w:val="20"/>
              </w:rPr>
            </w:pPr>
            <w:r w:rsidDel="00000000" w:rsidR="00000000" w:rsidRPr="00000000">
              <w:rPr>
                <w:rtl w:val="0"/>
              </w:rPr>
              <w:t xml:space="preserve">c.Pareja conviviente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5F">
            <w:pPr>
              <w:spacing w:line="276" w:lineRule="auto"/>
              <w:jc w:val="right"/>
              <w:rPr>
                <w:sz w:val="20"/>
                <w:szCs w:val="20"/>
              </w:rPr>
            </w:pPr>
            <w:r w:rsidDel="00000000" w:rsidR="00000000" w:rsidRPr="00000000">
              <w:rPr>
                <w:rtl w:val="0"/>
              </w:rPr>
              <w:t xml:space="preserve">82</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60">
            <w:pPr>
              <w:spacing w:line="276" w:lineRule="auto"/>
              <w:rPr>
                <w:sz w:val="20"/>
                <w:szCs w:val="20"/>
              </w:rPr>
            </w:pPr>
            <w:r w:rsidDel="00000000" w:rsidR="00000000" w:rsidRPr="00000000">
              <w:rPr>
                <w:rtl w:val="0"/>
              </w:rPr>
              <w:t xml:space="preserve">d.Ex pareja conviviente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1">
            <w:pPr>
              <w:spacing w:line="276" w:lineRule="auto"/>
              <w:jc w:val="right"/>
              <w:rPr>
                <w:sz w:val="20"/>
                <w:szCs w:val="20"/>
              </w:rPr>
            </w:pPr>
            <w:r w:rsidDel="00000000" w:rsidR="00000000" w:rsidRPr="00000000">
              <w:rPr>
                <w:rtl w:val="0"/>
              </w:rPr>
              <w:t xml:space="preserve">235</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62">
            <w:pPr>
              <w:spacing w:line="276" w:lineRule="auto"/>
              <w:rPr>
                <w:sz w:val="20"/>
                <w:szCs w:val="20"/>
              </w:rPr>
            </w:pPr>
            <w:r w:rsidDel="00000000" w:rsidR="00000000" w:rsidRPr="00000000">
              <w:rPr>
                <w:rtl w:val="0"/>
              </w:rPr>
              <w:t xml:space="preserve">e.Novio/Pareja no conviviente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3">
            <w:pPr>
              <w:spacing w:line="276" w:lineRule="auto"/>
              <w:jc w:val="right"/>
              <w:rPr>
                <w:sz w:val="20"/>
                <w:szCs w:val="20"/>
              </w:rPr>
            </w:pPr>
            <w:r w:rsidDel="00000000" w:rsidR="00000000" w:rsidRPr="00000000">
              <w:rPr>
                <w:rtl w:val="0"/>
              </w:rPr>
              <w:t xml:space="preserve">25</w:t>
            </w:r>
            <w:r w:rsidDel="00000000" w:rsidR="00000000" w:rsidRPr="00000000">
              <w:rPr>
                <w:rtl w:val="0"/>
              </w:rPr>
            </w:r>
          </w:p>
        </w:tc>
      </w:tr>
      <w:tr>
        <w:trPr>
          <w:trHeight w:val="525"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64">
            <w:pPr>
              <w:spacing w:line="276" w:lineRule="auto"/>
              <w:rPr>
                <w:sz w:val="20"/>
                <w:szCs w:val="20"/>
              </w:rPr>
            </w:pPr>
            <w:r w:rsidDel="00000000" w:rsidR="00000000" w:rsidRPr="00000000">
              <w:rPr>
                <w:rtl w:val="0"/>
              </w:rPr>
              <w:t xml:space="preserve">f.Ex novio/pareja no conviviente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5">
            <w:pPr>
              <w:spacing w:line="276" w:lineRule="auto"/>
              <w:jc w:val="right"/>
              <w:rPr>
                <w:sz w:val="20"/>
                <w:szCs w:val="20"/>
              </w:rPr>
            </w:pPr>
            <w:r w:rsidDel="00000000" w:rsidR="00000000" w:rsidRPr="00000000">
              <w:rPr>
                <w:rtl w:val="0"/>
              </w:rPr>
              <w:t xml:space="preserve">21</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66">
            <w:pPr>
              <w:spacing w:line="276" w:lineRule="auto"/>
              <w:rPr>
                <w:sz w:val="20"/>
                <w:szCs w:val="20"/>
              </w:rPr>
            </w:pPr>
            <w:r w:rsidDel="00000000" w:rsidR="00000000" w:rsidRPr="00000000">
              <w:rPr>
                <w:rtl w:val="0"/>
              </w:rPr>
              <w:t xml:space="preserve">g.Hija/o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7">
            <w:pPr>
              <w:spacing w:line="276" w:lineRule="auto"/>
              <w:jc w:val="right"/>
              <w:rPr>
                <w:sz w:val="20"/>
                <w:szCs w:val="20"/>
              </w:rPr>
            </w:pPr>
            <w:r w:rsidDel="00000000" w:rsidR="00000000" w:rsidRPr="00000000">
              <w:rPr>
                <w:rtl w:val="0"/>
              </w:rPr>
              <w:t xml:space="preserve">8</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68">
            <w:pPr>
              <w:spacing w:line="276" w:lineRule="auto"/>
              <w:rPr>
                <w:sz w:val="20"/>
                <w:szCs w:val="20"/>
              </w:rPr>
            </w:pPr>
            <w:r w:rsidDel="00000000" w:rsidR="00000000" w:rsidRPr="00000000">
              <w:rPr>
                <w:rtl w:val="0"/>
              </w:rPr>
              <w:t xml:space="preserve">h.Hermana/o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9">
            <w:pPr>
              <w:spacing w:line="276" w:lineRule="auto"/>
              <w:jc w:val="right"/>
              <w:rPr>
                <w:sz w:val="20"/>
                <w:szCs w:val="20"/>
              </w:rPr>
            </w:pPr>
            <w:r w:rsidDel="00000000" w:rsidR="00000000" w:rsidRPr="00000000">
              <w:rPr>
                <w:rtl w:val="0"/>
              </w:rPr>
              <w:t xml:space="preserve">8</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6A">
            <w:pPr>
              <w:spacing w:line="276" w:lineRule="auto"/>
              <w:rPr>
                <w:sz w:val="20"/>
                <w:szCs w:val="20"/>
              </w:rPr>
            </w:pPr>
            <w:r w:rsidDel="00000000" w:rsidR="00000000" w:rsidRPr="00000000">
              <w:rPr>
                <w:rtl w:val="0"/>
              </w:rPr>
              <w:t xml:space="preserve">i.Padre/Madre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B">
            <w:pPr>
              <w:spacing w:line="276" w:lineRule="auto"/>
              <w:jc w:val="right"/>
              <w:rPr>
                <w:sz w:val="20"/>
                <w:szCs w:val="20"/>
              </w:rPr>
            </w:pPr>
            <w:r w:rsidDel="00000000" w:rsidR="00000000" w:rsidRPr="00000000">
              <w:rPr>
                <w:rtl w:val="0"/>
              </w:rPr>
              <w:t xml:space="preserve">4</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6C">
            <w:pPr>
              <w:spacing w:line="276" w:lineRule="auto"/>
              <w:rPr>
                <w:sz w:val="20"/>
                <w:szCs w:val="20"/>
              </w:rPr>
            </w:pPr>
            <w:r w:rsidDel="00000000" w:rsidR="00000000" w:rsidRPr="00000000">
              <w:rPr>
                <w:rtl w:val="0"/>
              </w:rPr>
              <w:t xml:space="preserve">j.Otros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D">
            <w:pPr>
              <w:spacing w:line="276" w:lineRule="auto"/>
              <w:jc w:val="right"/>
              <w:rPr>
                <w:sz w:val="20"/>
                <w:szCs w:val="20"/>
              </w:rPr>
            </w:pPr>
            <w:r w:rsidDel="00000000" w:rsidR="00000000" w:rsidRPr="00000000">
              <w:rPr>
                <w:rtl w:val="0"/>
              </w:rPr>
              <w:t xml:space="preserve">30</w:t>
            </w:r>
            <w:r w:rsidDel="00000000" w:rsidR="00000000" w:rsidRPr="00000000">
              <w:rPr>
                <w:rtl w:val="0"/>
              </w:rPr>
            </w:r>
          </w:p>
        </w:tc>
      </w:tr>
      <w:tr>
        <w:trPr>
          <w:trHeight w:val="270" w:hRule="atLeast"/>
        </w:trPr>
        <w:tc>
          <w:tcPr>
            <w:tcBorders>
              <w:top w:color="cccccc" w:space="0" w:sz="6" w:val="single"/>
              <w:left w:color="000000" w:space="0" w:sz="6" w:val="single"/>
              <w:bottom w:color="000000" w:space="0" w:sz="6" w:val="single"/>
              <w:right w:color="000000" w:space="0" w:sz="6" w:val="single"/>
            </w:tcBorders>
            <w:shd w:fill="f2f5f7" w:val="clear"/>
            <w:tcMar>
              <w:top w:w="0.0" w:type="dxa"/>
              <w:left w:w="40.0" w:type="dxa"/>
              <w:bottom w:w="0.0" w:type="dxa"/>
              <w:right w:w="40.0" w:type="dxa"/>
            </w:tcMar>
            <w:vAlign w:val="bottom"/>
          </w:tcPr>
          <w:p w:rsidR="00000000" w:rsidDel="00000000" w:rsidP="00000000" w:rsidRDefault="00000000" w:rsidRPr="00000000" w14:paraId="0000006E">
            <w:pPr>
              <w:spacing w:line="276" w:lineRule="auto"/>
              <w:rPr>
                <w:sz w:val="20"/>
                <w:szCs w:val="20"/>
              </w:rPr>
            </w:pPr>
            <w:r w:rsidDel="00000000" w:rsidR="00000000" w:rsidRPr="00000000">
              <w:rPr>
                <w:rtl w:val="0"/>
              </w:rPr>
              <w:t xml:space="preserve">K.S/D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6F">
            <w:pPr>
              <w:spacing w:line="276" w:lineRule="auto"/>
              <w:jc w:val="right"/>
              <w:rPr>
                <w:sz w:val="20"/>
                <w:szCs w:val="20"/>
              </w:rPr>
            </w:pPr>
            <w:r w:rsidDel="00000000" w:rsidR="00000000" w:rsidRPr="00000000">
              <w:rPr>
                <w:rtl w:val="0"/>
              </w:rPr>
              <w:t xml:space="preserve">52</w:t>
            </w:r>
            <w:r w:rsidDel="00000000" w:rsidR="00000000" w:rsidRPr="00000000">
              <w:rPr>
                <w:rtl w:val="0"/>
              </w:rPr>
            </w:r>
          </w:p>
        </w:tc>
      </w:tr>
      <w:tr>
        <w:trPr>
          <w:trHeight w:val="255" w:hRule="atLeast"/>
        </w:trPr>
        <w:tc>
          <w:tcPr>
            <w:tcBorders>
              <w:top w:color="cccccc" w:space="0" w:sz="6" w:val="single"/>
              <w:left w:color="000000" w:space="0" w:sz="6" w:val="single"/>
              <w:bottom w:color="000000" w:space="0" w:sz="6" w:val="single"/>
              <w:right w:color="000000" w:space="0" w:sz="6" w:val="single"/>
            </w:tcBorders>
            <w:shd w:fill="d9e0e8" w:val="clear"/>
            <w:tcMar>
              <w:top w:w="0.0" w:type="dxa"/>
              <w:left w:w="40.0" w:type="dxa"/>
              <w:bottom w:w="0.0" w:type="dxa"/>
              <w:right w:w="40.0" w:type="dxa"/>
            </w:tcMar>
            <w:vAlign w:val="bottom"/>
          </w:tcPr>
          <w:p w:rsidR="00000000" w:rsidDel="00000000" w:rsidP="00000000" w:rsidRDefault="00000000" w:rsidRPr="00000000" w14:paraId="00000070">
            <w:pPr>
              <w:spacing w:line="276" w:lineRule="auto"/>
              <w:rPr>
                <w:sz w:val="20"/>
                <w:szCs w:val="20"/>
              </w:rPr>
            </w:pPr>
            <w:r w:rsidDel="00000000" w:rsidR="00000000" w:rsidRPr="00000000">
              <w:rPr>
                <w:b w:val="1"/>
                <w:sz w:val="20"/>
                <w:szCs w:val="20"/>
                <w:rtl w:val="0"/>
              </w:rPr>
              <w:t xml:space="preserve">Total general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e0e8" w:val="clear"/>
            <w:tcMar>
              <w:top w:w="0.0" w:type="dxa"/>
              <w:left w:w="40.0" w:type="dxa"/>
              <w:bottom w:w="0.0" w:type="dxa"/>
              <w:right w:w="40.0" w:type="dxa"/>
            </w:tcMar>
            <w:vAlign w:val="bottom"/>
          </w:tcPr>
          <w:p w:rsidR="00000000" w:rsidDel="00000000" w:rsidP="00000000" w:rsidRDefault="00000000" w:rsidRPr="00000000" w14:paraId="00000071">
            <w:pPr>
              <w:spacing w:line="276" w:lineRule="auto"/>
              <w:jc w:val="right"/>
              <w:rPr>
                <w:sz w:val="20"/>
                <w:szCs w:val="20"/>
              </w:rPr>
            </w:pPr>
            <w:r w:rsidDel="00000000" w:rsidR="00000000" w:rsidRPr="00000000">
              <w:rPr>
                <w:b w:val="1"/>
                <w:sz w:val="20"/>
                <w:szCs w:val="20"/>
                <w:rtl w:val="0"/>
              </w:rPr>
              <w:t xml:space="preserve">706</w:t>
            </w:r>
            <w:r w:rsidDel="00000000" w:rsidR="00000000" w:rsidRPr="00000000">
              <w:rPr>
                <w:rtl w:val="0"/>
              </w:rPr>
            </w:r>
          </w:p>
        </w:tc>
      </w:tr>
    </w:tbl>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18"/>
          <w:szCs w:val="18"/>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Fuente: </w:t>
      </w:r>
      <w:r w:rsidDel="00000000" w:rsidR="00000000" w:rsidRPr="00000000">
        <w:rPr>
          <w:sz w:val="18"/>
          <w:szCs w:val="18"/>
          <w:rtl w:val="0"/>
        </w:rPr>
        <w:t xml:space="preserve">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laborado por Observatorio de Género y Diversidad de la Dirección de Género y Diversidad, Ministerio de Salud, Desarrollo Social y Deportes, sobre la base de datos del RUC. Mendoza. </w:t>
      </w:r>
      <w:r w:rsidDel="00000000" w:rsidR="00000000" w:rsidRPr="00000000">
        <w:rPr>
          <w:sz w:val="18"/>
          <w:szCs w:val="18"/>
          <w:rtl w:val="0"/>
        </w:rPr>
        <w:t xml:space="preserve">Mayo 2020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74">
      <w:pPr>
        <w:tabs>
          <w:tab w:val="left" w:pos="8755"/>
        </w:tabs>
        <w:rPr/>
      </w:pPr>
      <w:r w:rsidDel="00000000" w:rsidR="00000000" w:rsidRPr="00000000">
        <w:rPr>
          <w:rtl w:val="0"/>
        </w:rPr>
      </w:r>
    </w:p>
    <w:p w:rsidR="00000000" w:rsidDel="00000000" w:rsidP="00000000" w:rsidRDefault="00000000" w:rsidRPr="00000000" w14:paraId="00000075">
      <w:pPr>
        <w:tabs>
          <w:tab w:val="left" w:pos="8755"/>
        </w:tabs>
        <w:rPr/>
      </w:pPr>
      <w:r w:rsidDel="00000000" w:rsidR="00000000" w:rsidRPr="00000000">
        <w:rPr>
          <w:rtl w:val="0"/>
        </w:rPr>
      </w:r>
    </w:p>
    <w:p w:rsidR="00000000" w:rsidDel="00000000" w:rsidP="00000000" w:rsidRDefault="00000000" w:rsidRPr="00000000" w14:paraId="00000076">
      <w:pPr>
        <w:ind w:left="28" w:right="1040" w:firstLine="0"/>
        <w:jc w:val="both"/>
        <w:rPr>
          <w:b w:val="1"/>
          <w:sz w:val="28"/>
          <w:szCs w:val="28"/>
        </w:rPr>
      </w:pPr>
      <w:r w:rsidDel="00000000" w:rsidR="00000000" w:rsidRPr="00000000">
        <w:rPr>
          <w:b w:val="1"/>
          <w:sz w:val="28"/>
          <w:szCs w:val="28"/>
          <w:rtl w:val="0"/>
        </w:rPr>
        <w:t xml:space="preserve">Disponibilidad habitacional de la mujer en situación de violencia doméstica</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 categoría nos pone en evidencia que la situación de una mujer con casa propia o con disponibilidad habitacional propia, es superior a la de quién vive en una vivienda alquilada, cedida o prestada. Esta superioridad tiene varias dimensiones para tener en cuenta en momentos cruciales para romper con el círculo de la violencia, a saber: la vivienda brinda seguridad económica en tiempos de incertidumbre, porque permite destinar la misma a la generación de ingresos y promueve pertenencia a redes en la comunidad.</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vivienda propia y en especial la existencia de un título de propiedad a nombre de la mujer le permite entonces, navegar con menos riesgo cuando decide desvincularse de la situación de violencia. La vivienda propia o tener un lugar adonde acudir brinda a la mujer seguridad frente a la incertidumbre económica y pertenencia comunitaria.</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razón por la cual se argumenta que la disponibilidad habitacional es un recurso que actúa como factor de protección frente a la violencia doméstica, es porque fomenta la autonomía femenina: las mujeres con mayores recursos propios tienen mayores opciones al enfrentarse a situaciones violentas.</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 embargo, es complejo afirmar que este recurso por sí mismo provee autonomía o que su ausencia la disminuye. Son evidentes los múltiples problemas que surgen para las mujeres que </w:t>
      </w:r>
      <w:r w:rsidDel="00000000" w:rsidR="00000000" w:rsidRPr="00000000">
        <w:rPr>
          <w:sz w:val="24"/>
          <w:szCs w:val="24"/>
          <w:rtl w:val="0"/>
        </w:rPr>
        <w:t xml:space="preserve">aún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teniéndolos no logran traducirlo en mayor autonomía o menor violencia.</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bl>
      <w:tblPr>
        <w:tblStyle w:val="Table3"/>
        <w:tblW w:w="483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1500"/>
        <w:tblGridChange w:id="0">
          <w:tblGrid>
            <w:gridCol w:w="3330"/>
            <w:gridCol w:w="1500"/>
          </w:tblGrid>
        </w:tblGridChange>
      </w:tblGrid>
      <w:tr>
        <w:trPr>
          <w:trHeight w:val="255" w:hRule="atLeast"/>
        </w:trPr>
        <w:tc>
          <w:tcPr>
            <w:tcBorders>
              <w:top w:color="000000"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D">
            <w:pPr>
              <w:spacing w:line="276" w:lineRule="auto"/>
              <w:rPr>
                <w:b w:val="1"/>
                <w:color w:val="17365d"/>
                <w:sz w:val="24"/>
                <w:szCs w:val="24"/>
              </w:rPr>
            </w:pPr>
            <w:r w:rsidDel="00000000" w:rsidR="00000000" w:rsidRPr="00000000">
              <w:rPr>
                <w:b w:val="1"/>
                <w:color w:val="17365d"/>
                <w:sz w:val="24"/>
                <w:szCs w:val="24"/>
                <w:rtl w:val="0"/>
              </w:rPr>
              <w:t xml:space="preserve">Disponibilidad habitacional</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E">
            <w:pPr>
              <w:spacing w:line="276" w:lineRule="auto"/>
              <w:rPr>
                <w:b w:val="1"/>
                <w:color w:val="17365d"/>
                <w:sz w:val="24"/>
                <w:szCs w:val="24"/>
              </w:rPr>
            </w:pPr>
            <w:r w:rsidDel="00000000" w:rsidR="00000000" w:rsidRPr="00000000">
              <w:rPr>
                <w:b w:val="1"/>
                <w:color w:val="17365d"/>
                <w:sz w:val="24"/>
                <w:szCs w:val="24"/>
                <w:rtl w:val="0"/>
              </w:rPr>
              <w:t xml:space="preserve">Casos</w:t>
            </w:r>
          </w:p>
        </w:tc>
      </w:tr>
      <w:tr>
        <w:trPr>
          <w:trHeight w:val="255"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7F">
            <w:pPr>
              <w:spacing w:line="276" w:lineRule="auto"/>
              <w:rPr>
                <w:color w:val="17365d"/>
                <w:sz w:val="24"/>
                <w:szCs w:val="24"/>
              </w:rPr>
            </w:pPr>
            <w:hyperlink r:id="rId12">
              <w:r w:rsidDel="00000000" w:rsidR="00000000" w:rsidRPr="00000000">
                <w:rPr>
                  <w:color w:val="17365d"/>
                  <w:sz w:val="24"/>
                  <w:szCs w:val="24"/>
                  <w:rtl w:val="0"/>
                </w:rPr>
                <w:t xml:space="preserve">a.Si</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0">
            <w:pPr>
              <w:spacing w:line="276" w:lineRule="auto"/>
              <w:jc w:val="right"/>
              <w:rPr>
                <w:color w:val="17365d"/>
                <w:sz w:val="24"/>
                <w:szCs w:val="24"/>
              </w:rPr>
            </w:pPr>
            <w:r w:rsidDel="00000000" w:rsidR="00000000" w:rsidRPr="00000000">
              <w:rPr>
                <w:color w:val="17365d"/>
                <w:sz w:val="24"/>
                <w:szCs w:val="24"/>
                <w:rtl w:val="0"/>
              </w:rPr>
              <w:t xml:space="preserve">551</w:t>
            </w:r>
          </w:p>
        </w:tc>
      </w:tr>
      <w:tr>
        <w:trPr>
          <w:trHeight w:val="255"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1">
            <w:pPr>
              <w:spacing w:line="276" w:lineRule="auto"/>
              <w:rPr>
                <w:color w:val="17365d"/>
                <w:sz w:val="24"/>
                <w:szCs w:val="24"/>
              </w:rPr>
            </w:pPr>
            <w:hyperlink r:id="rId13">
              <w:r w:rsidDel="00000000" w:rsidR="00000000" w:rsidRPr="00000000">
                <w:rPr>
                  <w:color w:val="17365d"/>
                  <w:sz w:val="24"/>
                  <w:szCs w:val="24"/>
                  <w:rtl w:val="0"/>
                </w:rPr>
                <w:t xml:space="preserve">b.No</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2">
            <w:pPr>
              <w:spacing w:line="276" w:lineRule="auto"/>
              <w:jc w:val="right"/>
              <w:rPr>
                <w:color w:val="17365d"/>
                <w:sz w:val="24"/>
                <w:szCs w:val="24"/>
              </w:rPr>
            </w:pPr>
            <w:r w:rsidDel="00000000" w:rsidR="00000000" w:rsidRPr="00000000">
              <w:rPr>
                <w:color w:val="17365d"/>
                <w:sz w:val="24"/>
                <w:szCs w:val="24"/>
                <w:rtl w:val="0"/>
              </w:rPr>
              <w:t xml:space="preserve">77</w:t>
            </w:r>
          </w:p>
        </w:tc>
      </w:tr>
      <w:tr>
        <w:trPr>
          <w:trHeight w:val="255"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3">
            <w:pPr>
              <w:spacing w:line="276" w:lineRule="auto"/>
              <w:rPr>
                <w:color w:val="17365d"/>
                <w:sz w:val="24"/>
                <w:szCs w:val="24"/>
              </w:rPr>
            </w:pPr>
            <w:r w:rsidDel="00000000" w:rsidR="00000000" w:rsidRPr="00000000">
              <w:rPr>
                <w:color w:val="17365d"/>
                <w:sz w:val="24"/>
                <w:szCs w:val="24"/>
                <w:rtl w:val="0"/>
              </w:rPr>
              <w:t xml:space="preserve">c.s/d</w:t>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4">
            <w:pPr>
              <w:spacing w:line="276" w:lineRule="auto"/>
              <w:jc w:val="right"/>
              <w:rPr>
                <w:color w:val="17365d"/>
                <w:sz w:val="24"/>
                <w:szCs w:val="24"/>
              </w:rPr>
            </w:pPr>
            <w:r w:rsidDel="00000000" w:rsidR="00000000" w:rsidRPr="00000000">
              <w:rPr>
                <w:color w:val="17365d"/>
                <w:sz w:val="24"/>
                <w:szCs w:val="24"/>
                <w:rtl w:val="0"/>
              </w:rPr>
              <w:t xml:space="preserve">78</w:t>
            </w:r>
          </w:p>
        </w:tc>
      </w:tr>
      <w:tr>
        <w:trPr>
          <w:trHeight w:val="255" w:hRule="atLeast"/>
        </w:trPr>
        <w:tc>
          <w:tcPr>
            <w:tcBorders>
              <w:top w:color="cccccc" w:space="0" w:sz="6" w:val="single"/>
              <w:left w:color="000000"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5">
            <w:pPr>
              <w:spacing w:line="276" w:lineRule="auto"/>
              <w:rPr>
                <w:color w:val="17365d"/>
                <w:sz w:val="24"/>
                <w:szCs w:val="24"/>
              </w:rPr>
            </w:pPr>
            <w:r w:rsidDel="00000000" w:rsidR="00000000" w:rsidRPr="00000000">
              <w:rPr>
                <w:b w:val="1"/>
                <w:color w:val="17365d"/>
                <w:sz w:val="24"/>
                <w:szCs w:val="24"/>
                <w:rtl w:val="0"/>
              </w:rPr>
              <w:t xml:space="preserve">Suma 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0.0" w:type="dxa"/>
              <w:left w:w="40.0" w:type="dxa"/>
              <w:bottom w:w="0.0" w:type="dxa"/>
              <w:right w:w="40.0" w:type="dxa"/>
            </w:tcMar>
            <w:vAlign w:val="bottom"/>
          </w:tcPr>
          <w:p w:rsidR="00000000" w:rsidDel="00000000" w:rsidP="00000000" w:rsidRDefault="00000000" w:rsidRPr="00000000" w14:paraId="00000086">
            <w:pPr>
              <w:spacing w:line="276" w:lineRule="auto"/>
              <w:jc w:val="right"/>
              <w:rPr>
                <w:color w:val="17365d"/>
                <w:sz w:val="24"/>
                <w:szCs w:val="24"/>
              </w:rPr>
            </w:pPr>
            <w:r w:rsidDel="00000000" w:rsidR="00000000" w:rsidRPr="00000000">
              <w:rPr>
                <w:b w:val="1"/>
                <w:color w:val="17365d"/>
                <w:sz w:val="24"/>
                <w:szCs w:val="24"/>
                <w:rtl w:val="0"/>
              </w:rPr>
              <w:t xml:space="preserve">706</w:t>
            </w:r>
            <w:r w:rsidDel="00000000" w:rsidR="00000000" w:rsidRPr="00000000">
              <w:rPr>
                <w:rtl w:val="0"/>
              </w:rPr>
            </w:r>
          </w:p>
        </w:tc>
      </w:tr>
    </w:tbl>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2"/>
        <w:jc w:val="both"/>
        <w:rPr>
          <w:rFonts w:ascii="Calibri" w:cs="Calibri" w:eastAsia="Calibri" w:hAnsi="Calibri"/>
          <w:b w:val="0"/>
          <w:i w:val="0"/>
          <w:smallCaps w:val="0"/>
          <w:strike w:val="0"/>
          <w:color w:val="17365d"/>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Fuente: </w:t>
      </w:r>
      <w:r w:rsidDel="00000000" w:rsidR="00000000" w:rsidRPr="00000000">
        <w:rPr>
          <w:sz w:val="18"/>
          <w:szCs w:val="18"/>
          <w:rtl w:val="0"/>
        </w:rPr>
        <w:t xml:space="preserve">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laborado por Observatorio de Género y Diversidad de la Dirección de Género y Diversidad, Ministerio de Salud, Desarrollo Social y Deportes, sobre la base de datos del RUC. Mendoza. </w:t>
      </w:r>
      <w:r w:rsidDel="00000000" w:rsidR="00000000" w:rsidRPr="00000000">
        <w:rPr>
          <w:sz w:val="18"/>
          <w:szCs w:val="18"/>
          <w:rtl w:val="0"/>
        </w:rPr>
        <w:t xml:space="preserve">Mayo 2020</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8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shd w:fill="ffffff" w:val="clear"/>
        <w:spacing w:before="52" w:lineRule="auto"/>
        <w:ind w:right="0"/>
        <w:jc w:val="both"/>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Podemos traducir entonces que</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respecto a la disponibilidad de vivienda en los </w:t>
      </w:r>
      <w:r w:rsidDel="00000000" w:rsidR="00000000" w:rsidRPr="00000000">
        <w:rPr>
          <w:sz w:val="24"/>
          <w:szCs w:val="24"/>
          <w:rtl w:val="0"/>
        </w:rPr>
        <w:t xml:space="preserve">datos obtenidos durante los meses de enero, febrero y marzo del corriente año, </w:t>
      </w:r>
      <w:r w:rsidDel="00000000" w:rsidR="00000000" w:rsidRPr="00000000">
        <w:rPr>
          <w:rFonts w:ascii="Calibri" w:cs="Calibri" w:eastAsia="Calibri" w:hAnsi="Calibri"/>
          <w:color w:val="000000"/>
          <w:sz w:val="24"/>
          <w:szCs w:val="24"/>
          <w:rtl w:val="0"/>
        </w:rPr>
        <w:t xml:space="preserve">ante una crisis</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más del</w:t>
      </w:r>
      <w:r w:rsidDel="00000000" w:rsidR="00000000" w:rsidRPr="00000000">
        <w:rPr>
          <w:sz w:val="24"/>
          <w:szCs w:val="24"/>
          <w:rtl w:val="0"/>
        </w:rPr>
        <w:t xml:space="preserve"> </w:t>
      </w:r>
      <w:r w:rsidDel="00000000" w:rsidR="00000000" w:rsidRPr="00000000">
        <w:rPr>
          <w:sz w:val="24"/>
          <w:szCs w:val="24"/>
          <w:rtl w:val="0"/>
        </w:rPr>
        <w:t xml:space="preserve">78%</w:t>
      </w:r>
      <w:r w:rsidDel="00000000" w:rsidR="00000000" w:rsidRPr="00000000">
        <w:rPr>
          <w:b w:val="1"/>
          <w:sz w:val="24"/>
          <w:szCs w:val="24"/>
          <w:rtl w:val="0"/>
        </w:rPr>
        <w:t xml:space="preserve">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manifiesta que tiene instancias habitacionales donde acudir. Pero </w:t>
      </w:r>
      <w:r w:rsidDel="00000000" w:rsidR="00000000" w:rsidRPr="00000000">
        <w:rPr>
          <w:b w:val="1"/>
          <w:color w:val="000000"/>
          <w:sz w:val="24"/>
          <w:szCs w:val="24"/>
          <w:rtl w:val="0"/>
        </w:rPr>
        <w:t xml:space="preserve">más de un 10% </w:t>
      </w:r>
      <w:r w:rsidDel="00000000" w:rsidR="00000000" w:rsidRPr="00000000">
        <w:rPr>
          <w:rFonts w:ascii="Calibri" w:cs="Calibri" w:eastAsia="Calibri" w:hAnsi="Calibri"/>
          <w:b w:val="1"/>
          <w:color w:val="000000"/>
          <w:sz w:val="24"/>
          <w:szCs w:val="24"/>
          <w:rtl w:val="0"/>
        </w:rPr>
        <w:t xml:space="preserve">de las mujeres </w:t>
      </w:r>
      <w:r w:rsidDel="00000000" w:rsidR="00000000" w:rsidRPr="00000000">
        <w:rPr>
          <w:b w:val="1"/>
          <w:sz w:val="24"/>
          <w:szCs w:val="24"/>
          <w:rtl w:val="0"/>
        </w:rPr>
        <w:t xml:space="preserve">en situación de violencia, </w:t>
      </w:r>
      <w:r w:rsidDel="00000000" w:rsidR="00000000" w:rsidRPr="00000000">
        <w:rPr>
          <w:rFonts w:ascii="Calibri" w:cs="Calibri" w:eastAsia="Calibri" w:hAnsi="Calibri"/>
          <w:color w:val="000000"/>
          <w:sz w:val="24"/>
          <w:szCs w:val="24"/>
          <w:rtl w:val="0"/>
        </w:rPr>
        <w:t xml:space="preserve">expresa que </w:t>
      </w:r>
      <w:r w:rsidDel="00000000" w:rsidR="00000000" w:rsidRPr="00000000">
        <w:rPr>
          <w:rFonts w:ascii="Calibri" w:cs="Calibri" w:eastAsia="Calibri" w:hAnsi="Calibri"/>
          <w:b w:val="1"/>
          <w:color w:val="000000"/>
          <w:sz w:val="24"/>
          <w:szCs w:val="24"/>
          <w:rtl w:val="0"/>
        </w:rPr>
        <w:t xml:space="preserve">no posee </w:t>
      </w:r>
      <w:r w:rsidDel="00000000" w:rsidR="00000000" w:rsidRPr="00000000">
        <w:rPr>
          <w:rFonts w:ascii="Calibri" w:cs="Calibri" w:eastAsia="Calibri" w:hAnsi="Calibri"/>
          <w:color w:val="000000"/>
          <w:sz w:val="24"/>
          <w:szCs w:val="24"/>
          <w:rtl w:val="0"/>
        </w:rPr>
        <w:t xml:space="preserve">alternativas habitacionales ante la situación de emergencia. Este indicador fundamenta una vez más, la necesidad de contar con recursos habitacionales, refugios, albergues, casas de alquiler, etc. para </w:t>
      </w:r>
      <w:r w:rsidDel="00000000" w:rsidR="00000000" w:rsidRPr="00000000">
        <w:rPr>
          <w:sz w:val="24"/>
          <w:szCs w:val="24"/>
          <w:rtl w:val="0"/>
        </w:rPr>
        <w:t xml:space="preserve">proveer</w:t>
      </w:r>
      <w:r w:rsidDel="00000000" w:rsidR="00000000" w:rsidRPr="00000000">
        <w:rPr>
          <w:rFonts w:ascii="Calibri" w:cs="Calibri" w:eastAsia="Calibri" w:hAnsi="Calibri"/>
          <w:color w:val="000000"/>
          <w:sz w:val="24"/>
          <w:szCs w:val="24"/>
          <w:rtl w:val="0"/>
        </w:rPr>
        <w:t xml:space="preserve"> a las mujeres</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de modo transitorio,ante las situaciones de crisis donde es la mujer la que debe abandonar el hogar para preservarse de la violencia sufrida.</w:t>
      </w:r>
    </w:p>
    <w:p w:rsidR="00000000" w:rsidDel="00000000" w:rsidP="00000000" w:rsidRDefault="00000000" w:rsidRPr="00000000" w14:paraId="0000008B">
      <w:pPr>
        <w:spacing w:before="52" w:lineRule="auto"/>
        <w:ind w:left="325" w:right="1443" w:firstLine="52.00000000000003"/>
        <w:jc w:val="both"/>
        <w:rPr>
          <w:rFonts w:ascii="Calibri" w:cs="Calibri" w:eastAsia="Calibri" w:hAnsi="Calibri"/>
          <w:color w:val="000000"/>
          <w:sz w:val="24"/>
          <w:szCs w:val="24"/>
          <w:shd w:fill="e4dfeb" w:val="clear"/>
        </w:rPr>
      </w:pPr>
      <w:r w:rsidDel="00000000" w:rsidR="00000000" w:rsidRPr="00000000">
        <w:rPr>
          <w:rtl w:val="0"/>
        </w:rPr>
      </w:r>
    </w:p>
    <w:p w:rsidR="00000000" w:rsidDel="00000000" w:rsidP="00000000" w:rsidRDefault="00000000" w:rsidRPr="00000000" w14:paraId="0000008C">
      <w:pPr>
        <w:rPr>
          <w:rFonts w:ascii="Calibri" w:cs="Calibri" w:eastAsia="Calibri" w:hAnsi="Calibri"/>
          <w:color w:val="000000"/>
          <w:sz w:val="24"/>
          <w:szCs w:val="24"/>
        </w:rPr>
      </w:pPr>
      <w:r w:rsidDel="00000000" w:rsidR="00000000" w:rsidRPr="00000000">
        <w:rPr>
          <w:rtl w:val="0"/>
        </w:rPr>
      </w:r>
    </w:p>
    <w:sectPr>
      <w:type w:val="nextPage"/>
      <w:pgSz w:h="16840" w:w="11910"/>
      <w:pgMar w:bottom="1440" w:top="1440" w:left="1080" w:right="905.4068241469831" w:header="708" w:footer="708"/>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42" w:hanging="360"/>
      </w:pPr>
      <w:rPr>
        <w:rFonts w:ascii="Noto Sans Symbols" w:cs="Noto Sans Symbols" w:eastAsia="Noto Sans Symbols" w:hAnsi="Noto Sans Symbols"/>
        <w:sz w:val="24"/>
        <w:szCs w:val="24"/>
      </w:rPr>
    </w:lvl>
    <w:lvl w:ilvl="1">
      <w:start w:val="1"/>
      <w:numFmt w:val="bullet"/>
      <w:lvlText w:val="•"/>
      <w:lvlJc w:val="left"/>
      <w:pPr>
        <w:ind w:left="1856" w:hanging="360"/>
      </w:pPr>
      <w:rPr/>
    </w:lvl>
    <w:lvl w:ilvl="2">
      <w:start w:val="1"/>
      <w:numFmt w:val="bullet"/>
      <w:lvlText w:val="•"/>
      <w:lvlJc w:val="left"/>
      <w:pPr>
        <w:ind w:left="2773" w:hanging="360"/>
      </w:pPr>
      <w:rPr/>
    </w:lvl>
    <w:lvl w:ilvl="3">
      <w:start w:val="1"/>
      <w:numFmt w:val="bullet"/>
      <w:lvlText w:val="•"/>
      <w:lvlJc w:val="left"/>
      <w:pPr>
        <w:ind w:left="3689" w:hanging="360"/>
      </w:pPr>
      <w:rPr/>
    </w:lvl>
    <w:lvl w:ilvl="4">
      <w:start w:val="1"/>
      <w:numFmt w:val="bullet"/>
      <w:lvlText w:val="•"/>
      <w:lvlJc w:val="left"/>
      <w:pPr>
        <w:ind w:left="4606" w:hanging="360"/>
      </w:pPr>
      <w:rPr/>
    </w:lvl>
    <w:lvl w:ilvl="5">
      <w:start w:val="1"/>
      <w:numFmt w:val="bullet"/>
      <w:lvlText w:val="•"/>
      <w:lvlJc w:val="left"/>
      <w:pPr>
        <w:ind w:left="5523" w:hanging="360"/>
      </w:pPr>
      <w:rPr/>
    </w:lvl>
    <w:lvl w:ilvl="6">
      <w:start w:val="1"/>
      <w:numFmt w:val="bullet"/>
      <w:lvlText w:val="•"/>
      <w:lvlJc w:val="left"/>
      <w:pPr>
        <w:ind w:left="6439" w:hanging="360"/>
      </w:pPr>
      <w:rPr/>
    </w:lvl>
    <w:lvl w:ilvl="7">
      <w:start w:val="1"/>
      <w:numFmt w:val="bullet"/>
      <w:lvlText w:val="•"/>
      <w:lvlJc w:val="left"/>
      <w:pPr>
        <w:ind w:left="7356" w:hanging="360"/>
      </w:pPr>
      <w:rPr/>
    </w:lvl>
    <w:lvl w:ilvl="8">
      <w:start w:val="1"/>
      <w:numFmt w:val="bullet"/>
      <w:lvlText w:val="•"/>
      <w:lvlJc w:val="left"/>
      <w:pPr>
        <w:ind w:left="8273"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before="105" w:lineRule="auto"/>
      <w:ind w:left="222"/>
    </w:pPr>
    <w:rPr>
      <w:b w:val="1"/>
      <w:sz w:val="28"/>
      <w:szCs w:val="28"/>
    </w:rPr>
  </w:style>
  <w:style w:type="paragraph" w:styleId="Heading3">
    <w:name w:val="heading 3"/>
    <w:basedOn w:val="Normal"/>
    <w:next w:val="Normal"/>
    <w:pPr>
      <w:spacing w:before="52" w:lineRule="auto"/>
      <w:ind w:left="222"/>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yperlink" Target="http://b.no" TargetMode="External"/><Relationship Id="rId12" Type="http://schemas.openxmlformats.org/officeDocument/2006/relationships/hyperlink" Target="http://a.s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