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5E" w:rsidRDefault="0049685E" w:rsidP="0049685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9685E" w:rsidRDefault="0049685E" w:rsidP="0049685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49685E" w:rsidRDefault="0049685E" w:rsidP="0049685E">
      <w:pPr>
        <w:jc w:val="center"/>
        <w:rPr>
          <w:b/>
          <w:lang w:val="es-MX"/>
        </w:rPr>
      </w:pPr>
    </w:p>
    <w:p w:rsidR="0049685E" w:rsidRDefault="0049685E" w:rsidP="00496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9685E" w:rsidRDefault="0049685E" w:rsidP="00496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</w:t>
      </w:r>
    </w:p>
    <w:p w:rsidR="0049685E" w:rsidRDefault="0049685E" w:rsidP="00496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2.016                                                       Trimestre: </w:t>
      </w:r>
      <w:r>
        <w:rPr>
          <w:b/>
          <w:lang w:val="es-MX"/>
        </w:rPr>
        <w:t>CUARTO</w:t>
      </w:r>
    </w:p>
    <w:p w:rsidR="0049685E" w:rsidRDefault="0049685E" w:rsidP="0049685E">
      <w:pPr>
        <w:tabs>
          <w:tab w:val="left" w:pos="4680"/>
        </w:tabs>
        <w:spacing w:line="360" w:lineRule="auto"/>
        <w:ind w:left="720"/>
        <w:jc w:val="both"/>
      </w:pPr>
    </w:p>
    <w:p w:rsidR="0049685E" w:rsidRDefault="0049685E" w:rsidP="0049685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>. 4.559”.</w:t>
      </w:r>
    </w:p>
    <w:p w:rsidR="0049685E" w:rsidRDefault="0049685E" w:rsidP="00A91E0A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acumulada al trimestre, resulta </w:t>
      </w:r>
      <w:r w:rsidR="00A91E0A">
        <w:t xml:space="preserve">inferior respecto de lo programado, dada la situación recesiva en general.  La excepción se presentó en el trimestre anterior, donde se ilustró notoriamente superior la recaudación </w:t>
      </w:r>
      <w:r>
        <w:t xml:space="preserve">respecto de lo programado, en virtud de que se </w:t>
      </w:r>
      <w:r w:rsidR="00A91E0A">
        <w:t>expuso</w:t>
      </w:r>
      <w:r>
        <w:t xml:space="preserve"> la recaudación correspondiente a Tasa de Justicia, que si bien se detalla bajo CUC 906 corresponde a este organismo en un 100% a partir</w:t>
      </w:r>
      <w:r w:rsidR="00A91E0A">
        <w:t xml:space="preserve"> del este ejercicio fiscal 2016.</w:t>
      </w:r>
    </w:p>
    <w:p w:rsidR="00336D23" w:rsidRDefault="00336D23" w:rsidP="00A91E0A">
      <w:pPr>
        <w:tabs>
          <w:tab w:val="left" w:pos="4680"/>
        </w:tabs>
        <w:spacing w:line="360" w:lineRule="auto"/>
        <w:ind w:left="720"/>
        <w:jc w:val="both"/>
      </w:pPr>
    </w:p>
    <w:p w:rsidR="0049685E" w:rsidRDefault="0049685E" w:rsidP="0049685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>. 4.559”.</w:t>
      </w:r>
    </w:p>
    <w:p w:rsidR="0049685E" w:rsidRDefault="0049685E" w:rsidP="0049685E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han sido </w:t>
      </w:r>
      <w:r w:rsidR="00A91E0A">
        <w:t xml:space="preserve">muy </w:t>
      </w:r>
      <w:r>
        <w:t>superiores respecto al nivel programado.</w:t>
      </w:r>
    </w:p>
    <w:p w:rsidR="0049685E" w:rsidRDefault="0049685E" w:rsidP="0049685E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521EEA">
        <w:t>se han restringido las inversiones.</w:t>
      </w:r>
      <w:bookmarkStart w:id="0" w:name="_GoBack"/>
      <w:bookmarkEnd w:id="0"/>
    </w:p>
    <w:p w:rsidR="00A91E0A" w:rsidRDefault="00A91E0A" w:rsidP="0049685E">
      <w:pPr>
        <w:tabs>
          <w:tab w:val="left" w:pos="4680"/>
        </w:tabs>
        <w:spacing w:line="360" w:lineRule="auto"/>
        <w:ind w:left="720"/>
        <w:jc w:val="both"/>
      </w:pPr>
      <w:r>
        <w:t>Es dable destacar, que desde el mes de octubre de 2016, el Poder Judicial está reorganizando su estructura, configurándose en el último trimestre de 2016, la separación presupuestaria y de planta, aunque</w:t>
      </w:r>
      <w:r w:rsidR="001E32F3">
        <w:t xml:space="preserve"> bajo Unidad 1 02 y la rendición conjunta de las cuentas.</w:t>
      </w:r>
    </w:p>
    <w:p w:rsidR="0049685E" w:rsidRDefault="0049685E" w:rsidP="0049685E">
      <w:pPr>
        <w:tabs>
          <w:tab w:val="left" w:pos="4680"/>
        </w:tabs>
        <w:spacing w:line="360" w:lineRule="auto"/>
        <w:ind w:left="360"/>
        <w:jc w:val="both"/>
      </w:pPr>
    </w:p>
    <w:p w:rsidR="0051139C" w:rsidRDefault="0049685E">
      <w:r>
        <w:rPr>
          <w:rFonts w:ascii="Arial" w:hAnsi="Arial" w:cs="Arial"/>
          <w:b/>
          <w:bCs/>
          <w:sz w:val="16"/>
          <w:szCs w:val="16"/>
        </w:rPr>
        <w:t>DIRECCION DE CONTABILIDAD Y FINANZAS</w:t>
      </w:r>
      <w:r w:rsidR="001E32F3">
        <w:rPr>
          <w:rFonts w:ascii="Arial" w:hAnsi="Arial" w:cs="Arial"/>
          <w:b/>
          <w:bCs/>
          <w:sz w:val="16"/>
          <w:szCs w:val="16"/>
        </w:rPr>
        <w:t xml:space="preserve"> y SERVICIO ADM. FINANCIERO</w:t>
      </w:r>
      <w:r>
        <w:rPr>
          <w:rFonts w:ascii="Arial" w:hAnsi="Arial" w:cs="Arial"/>
          <w:b/>
          <w:bCs/>
          <w:sz w:val="16"/>
          <w:szCs w:val="16"/>
        </w:rPr>
        <w:t xml:space="preserve">, Mendoza,  </w:t>
      </w:r>
      <w:r>
        <w:rPr>
          <w:rFonts w:ascii="Arial" w:hAnsi="Arial" w:cs="Arial"/>
          <w:b/>
          <w:bCs/>
          <w:sz w:val="16"/>
          <w:szCs w:val="16"/>
        </w:rPr>
        <w:t>Febrero 2017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="001E32F3">
        <w:t xml:space="preserve"> </w:t>
      </w:r>
    </w:p>
    <w:sectPr w:rsidR="0051139C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BFF" w:rsidRDefault="009C5BFF" w:rsidP="0049685E">
      <w:r>
        <w:separator/>
      </w:r>
    </w:p>
  </w:endnote>
  <w:endnote w:type="continuationSeparator" w:id="0">
    <w:p w:rsidR="009C5BFF" w:rsidRDefault="009C5BFF" w:rsidP="0049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BFF" w:rsidRDefault="009C5BFF" w:rsidP="0049685E">
      <w:r>
        <w:separator/>
      </w:r>
    </w:p>
  </w:footnote>
  <w:footnote w:type="continuationSeparator" w:id="0">
    <w:p w:rsidR="009C5BFF" w:rsidRDefault="009C5BFF" w:rsidP="00496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5E" w:rsidRDefault="0049685E" w:rsidP="0049685E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58226B5A" wp14:editId="51330FA2">
          <wp:extent cx="868680" cy="1046480"/>
          <wp:effectExtent l="0" t="0" r="7620" b="1270"/>
          <wp:docPr id="1" name="Imagen 1" descr="escudoPJu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escudoPJud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9685E" w:rsidRDefault="0049685E" w:rsidP="0049685E">
    <w:pPr>
      <w:pStyle w:val="Encabezado"/>
      <w:jc w:val="center"/>
      <w:rPr>
        <w:b/>
      </w:rPr>
    </w:pPr>
    <w:r>
      <w:rPr>
        <w:b/>
      </w:rPr>
      <w:t>PODER JUDICIAL DE MENDOZA</w:t>
    </w:r>
  </w:p>
  <w:p w:rsidR="0049685E" w:rsidRDefault="0049685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5E"/>
    <w:rsid w:val="001E32F3"/>
    <w:rsid w:val="00336D23"/>
    <w:rsid w:val="0049685E"/>
    <w:rsid w:val="0051139C"/>
    <w:rsid w:val="00521EEA"/>
    <w:rsid w:val="005F7E80"/>
    <w:rsid w:val="007824E8"/>
    <w:rsid w:val="009C5BFF"/>
    <w:rsid w:val="00A9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685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685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968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85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68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685E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685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685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968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85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68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685E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SONIA</cp:lastModifiedBy>
  <cp:revision>3</cp:revision>
  <dcterms:created xsi:type="dcterms:W3CDTF">2017-02-15T18:35:00Z</dcterms:created>
  <dcterms:modified xsi:type="dcterms:W3CDTF">2017-02-15T19:23:00Z</dcterms:modified>
</cp:coreProperties>
</file>