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5C3EAB">
      <w:pPr>
        <w:ind w:left="1134"/>
        <w:jc w:val="center"/>
        <w:rPr>
          <w:rFonts w:ascii="Verdana" w:hAnsi="Verdana"/>
          <w:sz w:val="36"/>
          <w:szCs w:val="36"/>
          <w:u w:val="single"/>
        </w:rPr>
      </w:pPr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36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Pr="0049431A">
        <w:rPr>
          <w:rFonts w:ascii="Verdana" w:hAnsi="Verdana"/>
          <w:sz w:val="28"/>
        </w:rPr>
        <w:t xml:space="preserve">: </w:t>
      </w:r>
      <w:r w:rsidR="00467D45">
        <w:rPr>
          <w:rFonts w:ascii="Verdana" w:hAnsi="Verdana"/>
          <w:sz w:val="28"/>
        </w:rPr>
        <w:t>4</w:t>
      </w:r>
      <w:r w:rsidRPr="0049431A">
        <w:rPr>
          <w:rFonts w:ascii="Verdana" w:hAnsi="Verdana"/>
          <w:b/>
          <w:sz w:val="28"/>
        </w:rPr>
        <w:t>°</w:t>
      </w:r>
      <w:r w:rsidRPr="0049431A">
        <w:rPr>
          <w:rFonts w:ascii="Verdana" w:hAnsi="Verdana"/>
          <w:b/>
        </w:rPr>
        <w:t xml:space="preserve"> TRIMESTRE 201</w:t>
      </w:r>
      <w:r w:rsidR="005B7666">
        <w:rPr>
          <w:rFonts w:ascii="Verdana" w:hAnsi="Verdana"/>
          <w:b/>
        </w:rPr>
        <w:t>6</w:t>
      </w:r>
    </w:p>
    <w:p w:rsidR="00067251" w:rsidRPr="00F42680" w:rsidRDefault="00067251" w:rsidP="005C3EAB">
      <w:pPr>
        <w:ind w:left="1134"/>
        <w:rPr>
          <w:rFonts w:ascii="Verdana" w:hAnsi="Verdana"/>
        </w:rPr>
      </w:pPr>
    </w:p>
    <w:p w:rsidR="00067251" w:rsidRPr="0049431A" w:rsidRDefault="00067251" w:rsidP="005C3EAB">
      <w:pPr>
        <w:ind w:left="1134"/>
        <w:rPr>
          <w:rFonts w:ascii="Verdana" w:hAnsi="Verdana"/>
        </w:rPr>
      </w:pPr>
    </w:p>
    <w:p w:rsidR="0029728C" w:rsidRDefault="0029728C" w:rsidP="005C3EAB">
      <w:pPr>
        <w:ind w:left="1134"/>
        <w:rPr>
          <w:rFonts w:ascii="Verdana" w:hAnsi="Verdana"/>
          <w:b/>
        </w:rPr>
      </w:pPr>
    </w:p>
    <w:p w:rsidR="0029728C" w:rsidRPr="00067251" w:rsidRDefault="0029728C" w:rsidP="005C3EAB">
      <w:pPr>
        <w:ind w:left="1134"/>
        <w:rPr>
          <w:rFonts w:ascii="Verdana" w:hAnsi="Verdana"/>
        </w:rPr>
      </w:pPr>
      <w:r w:rsidRPr="00067251">
        <w:rPr>
          <w:rFonts w:ascii="Verdana" w:hAnsi="Verdana"/>
        </w:rPr>
        <w:t>ARTICULO 27 INC. C:</w:t>
      </w:r>
    </w:p>
    <w:p w:rsidR="0029728C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29728C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  <w:r w:rsidRPr="00613183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Default="006A0D67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751B6" w:rsidRPr="00016DCD" w:rsidRDefault="00A313F9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016DCD">
        <w:rPr>
          <w:rFonts w:ascii="Verdana" w:eastAsia="Calibri" w:hAnsi="Verdana"/>
          <w:sz w:val="22"/>
          <w:szCs w:val="22"/>
          <w:lang w:eastAsia="en-US"/>
        </w:rPr>
        <w:t>Según se observa en el Anexo 4 de la Administración Central, l</w:t>
      </w:r>
      <w:r w:rsidR="00B75FE2" w:rsidRPr="00016DCD">
        <w:rPr>
          <w:rFonts w:ascii="Verdana" w:eastAsia="Calibri" w:hAnsi="Verdana"/>
          <w:sz w:val="22"/>
          <w:szCs w:val="22"/>
          <w:lang w:eastAsia="en-US"/>
        </w:rPr>
        <w:t>os Recursos Corrientes</w:t>
      </w:r>
      <w:r w:rsidR="002F23E4" w:rsidRPr="00016DCD">
        <w:rPr>
          <w:rFonts w:ascii="Verdana" w:eastAsia="Calibri" w:hAnsi="Verdana"/>
          <w:sz w:val="22"/>
          <w:szCs w:val="22"/>
          <w:lang w:eastAsia="en-US"/>
        </w:rPr>
        <w:t xml:space="preserve"> y de Capital ingresados en el tercer trimestre superaron al programado, en forma global, en un </w:t>
      </w:r>
      <w:r w:rsidR="00016DCD" w:rsidRPr="00016DCD">
        <w:rPr>
          <w:rFonts w:ascii="Verdana" w:eastAsia="Calibri" w:hAnsi="Verdana"/>
          <w:sz w:val="22"/>
          <w:szCs w:val="22"/>
          <w:lang w:eastAsia="en-US"/>
        </w:rPr>
        <w:t>12</w:t>
      </w:r>
      <w:r w:rsidR="00997C6D" w:rsidRPr="00016DCD">
        <w:rPr>
          <w:rFonts w:ascii="Verdana" w:eastAsia="Calibri" w:hAnsi="Verdana"/>
          <w:sz w:val="22"/>
          <w:szCs w:val="22"/>
          <w:lang w:eastAsia="en-US"/>
        </w:rPr>
        <w:t>,</w:t>
      </w:r>
      <w:r w:rsidR="00016DCD" w:rsidRPr="00016DCD">
        <w:rPr>
          <w:rFonts w:ascii="Verdana" w:eastAsia="Calibri" w:hAnsi="Verdana"/>
          <w:sz w:val="22"/>
          <w:szCs w:val="22"/>
          <w:lang w:eastAsia="en-US"/>
        </w:rPr>
        <w:t>2</w:t>
      </w:r>
      <w:r w:rsidR="002F23E4" w:rsidRPr="00016DCD">
        <w:rPr>
          <w:rFonts w:ascii="Verdana" w:eastAsia="Calibri" w:hAnsi="Verdana"/>
          <w:sz w:val="22"/>
          <w:szCs w:val="22"/>
          <w:lang w:eastAsia="en-US"/>
        </w:rPr>
        <w:t>%.</w:t>
      </w:r>
    </w:p>
    <w:p w:rsidR="00B75FE2" w:rsidRPr="004E1BC1" w:rsidRDefault="00B75FE2" w:rsidP="005C3EAB">
      <w:pPr>
        <w:numPr>
          <w:ilvl w:val="0"/>
          <w:numId w:val="1"/>
        </w:numPr>
        <w:spacing w:after="200" w:line="276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E1BC1">
        <w:rPr>
          <w:rFonts w:ascii="Verdana" w:eastAsia="Calibri" w:hAnsi="Verdana"/>
          <w:sz w:val="22"/>
          <w:szCs w:val="22"/>
          <w:lang w:eastAsia="en-US"/>
        </w:rPr>
        <w:t xml:space="preserve">La recaudación de los Recursos Corrientes, ha </w:t>
      </w:r>
      <w:r w:rsidR="00975682" w:rsidRPr="004E1BC1">
        <w:rPr>
          <w:rFonts w:ascii="Verdana" w:eastAsia="Calibri" w:hAnsi="Verdana"/>
          <w:sz w:val="22"/>
          <w:szCs w:val="22"/>
          <w:lang w:eastAsia="en-US"/>
        </w:rPr>
        <w:t>superado</w:t>
      </w:r>
      <w:r w:rsidRPr="004E1BC1">
        <w:rPr>
          <w:rFonts w:ascii="Verdana" w:eastAsia="Calibri" w:hAnsi="Verdana"/>
          <w:sz w:val="22"/>
          <w:szCs w:val="22"/>
          <w:lang w:eastAsia="en-US"/>
        </w:rPr>
        <w:t xml:space="preserve"> las expectativas de las pautas presupuestarias</w:t>
      </w:r>
      <w:r w:rsidR="000D1B37" w:rsidRPr="004E1BC1">
        <w:rPr>
          <w:rFonts w:ascii="Verdana" w:eastAsia="Calibri" w:hAnsi="Verdana"/>
          <w:sz w:val="22"/>
          <w:szCs w:val="22"/>
          <w:lang w:eastAsia="en-US"/>
        </w:rPr>
        <w:t xml:space="preserve"> y la programación financiera del trimestre</w:t>
      </w:r>
      <w:r w:rsidR="00AA12D2" w:rsidRPr="004E1BC1">
        <w:rPr>
          <w:rFonts w:ascii="Verdana" w:eastAsia="Calibri" w:hAnsi="Verdana"/>
          <w:sz w:val="22"/>
          <w:szCs w:val="22"/>
          <w:lang w:eastAsia="en-US"/>
        </w:rPr>
        <w:t xml:space="preserve"> en un </w:t>
      </w:r>
      <w:r w:rsidR="00997C6D" w:rsidRPr="004E1BC1">
        <w:rPr>
          <w:rFonts w:ascii="Verdana" w:eastAsia="Calibri" w:hAnsi="Verdana"/>
          <w:sz w:val="22"/>
          <w:szCs w:val="22"/>
          <w:lang w:eastAsia="en-US"/>
        </w:rPr>
        <w:t>1</w:t>
      </w:r>
      <w:r w:rsidR="004E1BC1" w:rsidRPr="004E1BC1">
        <w:rPr>
          <w:rFonts w:ascii="Verdana" w:eastAsia="Calibri" w:hAnsi="Verdana"/>
          <w:sz w:val="22"/>
          <w:szCs w:val="22"/>
          <w:lang w:eastAsia="en-US"/>
        </w:rPr>
        <w:t>2</w:t>
      </w:r>
      <w:r w:rsidR="00997C6D" w:rsidRPr="004E1BC1">
        <w:rPr>
          <w:rFonts w:ascii="Verdana" w:eastAsia="Calibri" w:hAnsi="Verdana"/>
          <w:sz w:val="22"/>
          <w:szCs w:val="22"/>
          <w:lang w:eastAsia="en-US"/>
        </w:rPr>
        <w:t>,9</w:t>
      </w:r>
      <w:r w:rsidR="009513BE" w:rsidRPr="004E1BC1">
        <w:rPr>
          <w:rFonts w:ascii="Verdana" w:eastAsia="Calibri" w:hAnsi="Verdana"/>
          <w:sz w:val="22"/>
          <w:szCs w:val="22"/>
          <w:lang w:eastAsia="en-US"/>
        </w:rPr>
        <w:t>%.</w:t>
      </w:r>
    </w:p>
    <w:p w:rsidR="00B75FE2" w:rsidRPr="00467D45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highlight w:val="yellow"/>
          <w:lang w:eastAsia="en-US"/>
        </w:rPr>
      </w:pPr>
      <w:bookmarkStart w:id="0" w:name="_GoBack"/>
      <w:bookmarkEnd w:id="0"/>
      <w:r w:rsidRPr="004E1BC1">
        <w:rPr>
          <w:rFonts w:ascii="Verdana" w:eastAsia="Calibri" w:hAnsi="Verdana"/>
          <w:sz w:val="22"/>
          <w:szCs w:val="22"/>
          <w:lang w:eastAsia="en-US"/>
        </w:rPr>
        <w:t>En cuanto a los Recursos de Capital el mismo se ha ejecutado en m</w:t>
      </w:r>
      <w:r w:rsidR="009513BE" w:rsidRPr="004E1BC1">
        <w:rPr>
          <w:rFonts w:ascii="Verdana" w:eastAsia="Calibri" w:hAnsi="Verdana"/>
          <w:sz w:val="22"/>
          <w:szCs w:val="22"/>
          <w:lang w:eastAsia="en-US"/>
        </w:rPr>
        <w:t>enor</w:t>
      </w:r>
      <w:r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medid</w:t>
      </w:r>
      <w:r w:rsidR="00CA5954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a lo programado originalmente, </w:t>
      </w:r>
      <w:r w:rsidR="00910EB2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>siendo</w:t>
      </w:r>
      <w:r w:rsidR="00CA5954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ingresado</w:t>
      </w:r>
      <w:r w:rsidR="00910EB2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un </w:t>
      </w:r>
      <w:r w:rsidR="004E1BC1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>22,9</w:t>
      </w:r>
      <w:r w:rsidR="00910EB2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% </w:t>
      </w:r>
      <w:r w:rsidR="009513BE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>inferior</w:t>
      </w:r>
      <w:r w:rsidR="00B720A9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respecto a lo programado</w:t>
      </w:r>
      <w:r w:rsidR="004E1BC1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>, siendo nominalmente un importe no muy significativo</w:t>
      </w:r>
      <w:r w:rsidR="00B720A9" w:rsidRPr="004E1BC1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. </w:t>
      </w:r>
      <w:r w:rsidR="009513BE" w:rsidRPr="00467D45">
        <w:rPr>
          <w:rFonts w:ascii="Verdana" w:eastAsia="Calibri" w:hAnsi="Verdana" w:cs="Arial"/>
          <w:color w:val="000000"/>
          <w:sz w:val="22"/>
          <w:szCs w:val="22"/>
          <w:highlight w:val="yellow"/>
          <w:lang w:eastAsia="en-US"/>
        </w:rPr>
        <w:t xml:space="preserve"> </w:t>
      </w:r>
    </w:p>
    <w:p w:rsidR="00B75FE2" w:rsidRPr="00467D45" w:rsidRDefault="00B75FE2" w:rsidP="005C3EAB">
      <w:pPr>
        <w:spacing w:line="360" w:lineRule="auto"/>
        <w:ind w:left="1134"/>
        <w:jc w:val="both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B75FE2" w:rsidRPr="003569F7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Gastos Corrientes  y de Capital se ejecutaron en </w:t>
      </w:r>
      <w:r w:rsidR="003569F7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mayor</w:t>
      </w:r>
      <w:r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medida a lo programado</w:t>
      </w:r>
      <w:r w:rsidR="003569F7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en un 21,9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%. </w:t>
      </w:r>
      <w:r w:rsidR="00512501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Corrientes </w:t>
      </w:r>
      <w:r w:rsidR="00512501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se devengaron 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en un </w:t>
      </w:r>
      <w:r w:rsidR="003569F7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20</w:t>
      </w:r>
      <w:r w:rsidR="00512501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3569F7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0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% m</w:t>
      </w:r>
      <w:r w:rsidR="003569F7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ayor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a lo programado, En las Erogaciones de Capital </w:t>
      </w:r>
      <w:r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512501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se ejecutó un </w:t>
      </w:r>
      <w:r w:rsidR="003569F7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51,3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% m</w:t>
      </w:r>
      <w:r w:rsidR="00512501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>ayor</w:t>
      </w:r>
      <w:r w:rsidR="0011278E" w:rsidRPr="003569F7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a lo programado.</w:t>
      </w:r>
    </w:p>
    <w:p w:rsidR="001441BF" w:rsidRPr="00467D45" w:rsidRDefault="001441BF" w:rsidP="005C3EAB">
      <w:pPr>
        <w:pStyle w:val="Prrafodelista"/>
        <w:ind w:left="1134"/>
        <w:rPr>
          <w:rFonts w:ascii="Verdana" w:eastAsia="Calibri" w:hAnsi="Verdana"/>
          <w:sz w:val="22"/>
          <w:szCs w:val="22"/>
          <w:highlight w:val="yellow"/>
          <w:lang w:eastAsia="en-US"/>
        </w:rPr>
      </w:pPr>
    </w:p>
    <w:p w:rsidR="001441BF" w:rsidRPr="00E23199" w:rsidRDefault="001441BF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E23199">
        <w:rPr>
          <w:rFonts w:ascii="Verdana" w:eastAsia="Calibri" w:hAnsi="Verdana"/>
          <w:sz w:val="22"/>
          <w:szCs w:val="22"/>
          <w:lang w:eastAsia="en-US"/>
        </w:rPr>
        <w:t>Los mayores ingresos de</w:t>
      </w:r>
      <w:r w:rsidR="00512501" w:rsidRPr="00E23199">
        <w:rPr>
          <w:rFonts w:ascii="Verdana" w:eastAsia="Calibri" w:hAnsi="Verdana"/>
          <w:sz w:val="22"/>
          <w:szCs w:val="22"/>
          <w:lang w:eastAsia="en-US"/>
        </w:rPr>
        <w:t xml:space="preserve">l Total de los 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Recursos, </w:t>
      </w:r>
      <w:r w:rsidR="00E23199" w:rsidRPr="00E23199">
        <w:rPr>
          <w:rFonts w:ascii="Verdana" w:eastAsia="Calibri" w:hAnsi="Verdana"/>
          <w:sz w:val="22"/>
          <w:szCs w:val="22"/>
          <w:lang w:eastAsia="en-US"/>
        </w:rPr>
        <w:t>cubrieron los mayores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 egresos de</w:t>
      </w:r>
      <w:r w:rsidR="00512501" w:rsidRPr="00E23199">
        <w:rPr>
          <w:rFonts w:ascii="Verdana" w:eastAsia="Calibri" w:hAnsi="Verdana"/>
          <w:sz w:val="22"/>
          <w:szCs w:val="22"/>
          <w:lang w:eastAsia="en-US"/>
        </w:rPr>
        <w:t>l Total de los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 Gastos, sumados a las fuentes de financiamiento (uso del crédito), permitieron cubrir la necesidad de financiamiento del trimestre para afrontar el pago de los intereses y gastos de la deuda </w:t>
      </w:r>
      <w:r w:rsidRPr="00E23199">
        <w:rPr>
          <w:rFonts w:ascii="Verdana" w:eastAsia="Calibri" w:hAnsi="Verdana"/>
          <w:sz w:val="22"/>
          <w:szCs w:val="22"/>
          <w:lang w:eastAsia="en-US"/>
        </w:rPr>
        <w:lastRenderedPageBreak/>
        <w:t xml:space="preserve">pública, como también la amortización de los mismos, </w:t>
      </w:r>
      <w:r w:rsidR="008072CF" w:rsidRPr="00E23199">
        <w:rPr>
          <w:rFonts w:ascii="Verdana" w:eastAsia="Calibri" w:hAnsi="Verdana"/>
          <w:sz w:val="22"/>
          <w:szCs w:val="22"/>
          <w:lang w:eastAsia="en-US"/>
        </w:rPr>
        <w:t xml:space="preserve">produciéndose un Resultado Financiero </w:t>
      </w:r>
      <w:r w:rsidR="00E23199" w:rsidRPr="00E23199">
        <w:rPr>
          <w:rFonts w:ascii="Verdana" w:eastAsia="Calibri" w:hAnsi="Verdana"/>
          <w:sz w:val="22"/>
          <w:szCs w:val="22"/>
          <w:lang w:eastAsia="en-US"/>
        </w:rPr>
        <w:t>negativo</w:t>
      </w:r>
      <w:r w:rsidR="008072CF" w:rsidRPr="00E23199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debido a que los ingresos en concepto de fuentes de financiamiento fueron </w:t>
      </w:r>
      <w:r w:rsidR="00E23199" w:rsidRPr="00E23199">
        <w:rPr>
          <w:rFonts w:ascii="Verdana" w:eastAsia="Calibri" w:hAnsi="Verdana"/>
          <w:sz w:val="22"/>
          <w:szCs w:val="22"/>
          <w:lang w:eastAsia="en-US"/>
        </w:rPr>
        <w:t>menores</w:t>
      </w:r>
      <w:r w:rsidRPr="00E23199">
        <w:rPr>
          <w:rFonts w:ascii="Verdana" w:eastAsia="Calibri" w:hAnsi="Verdana"/>
          <w:sz w:val="22"/>
          <w:szCs w:val="22"/>
          <w:lang w:eastAsia="en-US"/>
        </w:rPr>
        <w:t xml:space="preserve"> a lo programado, y las aplicaciones resultaron </w:t>
      </w:r>
      <w:r w:rsidR="008072CF" w:rsidRPr="00E23199">
        <w:rPr>
          <w:rFonts w:ascii="Verdana" w:eastAsia="Calibri" w:hAnsi="Verdana"/>
          <w:sz w:val="22"/>
          <w:szCs w:val="22"/>
          <w:lang w:eastAsia="en-US"/>
        </w:rPr>
        <w:t>algo infer</w:t>
      </w:r>
      <w:r w:rsidRPr="00E23199">
        <w:rPr>
          <w:rFonts w:ascii="Verdana" w:eastAsia="Calibri" w:hAnsi="Verdana"/>
          <w:sz w:val="22"/>
          <w:szCs w:val="22"/>
          <w:lang w:eastAsia="en-US"/>
        </w:rPr>
        <w:t>iores al estimado</w:t>
      </w:r>
      <w:r w:rsidR="008072CF" w:rsidRPr="00E23199">
        <w:rPr>
          <w:rFonts w:ascii="Verdana" w:eastAsia="Calibri" w:hAnsi="Verdana"/>
          <w:sz w:val="22"/>
          <w:szCs w:val="22"/>
          <w:lang w:eastAsia="en-US"/>
        </w:rPr>
        <w:t xml:space="preserve"> para el trimestre</w:t>
      </w:r>
      <w:r w:rsidRPr="00E23199">
        <w:rPr>
          <w:rFonts w:ascii="Verdana" w:eastAsia="Calibri" w:hAnsi="Verdana"/>
          <w:sz w:val="22"/>
          <w:szCs w:val="22"/>
          <w:lang w:eastAsia="en-US"/>
        </w:rPr>
        <w:t>.</w:t>
      </w:r>
    </w:p>
    <w:p w:rsidR="00E23199" w:rsidRPr="00E23199" w:rsidRDefault="00E23199" w:rsidP="00E23199">
      <w:pPr>
        <w:pStyle w:val="Prrafodelista"/>
        <w:rPr>
          <w:rFonts w:ascii="Verdana" w:eastAsia="Calibri" w:hAnsi="Verdana"/>
          <w:sz w:val="22"/>
          <w:szCs w:val="22"/>
          <w:lang w:eastAsia="en-US"/>
        </w:rPr>
      </w:pPr>
    </w:p>
    <w:p w:rsidR="00E23199" w:rsidRPr="00E23199" w:rsidRDefault="00E23199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E23199">
        <w:rPr>
          <w:rFonts w:ascii="Verdana" w:eastAsia="Calibri" w:hAnsi="Verdana"/>
          <w:sz w:val="22"/>
          <w:szCs w:val="22"/>
          <w:lang w:eastAsia="en-US"/>
        </w:rPr>
        <w:t>El Resultado Financiero negativo del 4º trimestre fue cubierto por el Resultado Financiero positivo del 3º trimestre.</w:t>
      </w:r>
    </w:p>
    <w:p w:rsidR="00910EB2" w:rsidRDefault="00910EB2" w:rsidP="005C3EAB">
      <w:pPr>
        <w:pStyle w:val="Prrafodelista"/>
        <w:ind w:left="1134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B75FE2" w:rsidRDefault="00B75FE2" w:rsidP="005C3EAB">
      <w:pPr>
        <w:spacing w:after="200" w:line="276" w:lineRule="auto"/>
        <w:ind w:left="1134"/>
        <w:rPr>
          <w:rFonts w:ascii="Calibri" w:eastAsia="Calibri" w:hAnsi="Calibri"/>
          <w:sz w:val="22"/>
          <w:szCs w:val="22"/>
          <w:lang w:eastAsia="en-US"/>
        </w:rPr>
      </w:pPr>
    </w:p>
    <w:p w:rsidR="00B75FE2" w:rsidRPr="00D83C62" w:rsidRDefault="00B75FE2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  <w:color w:val="000000"/>
        </w:rPr>
      </w:pPr>
    </w:p>
    <w:p w:rsidR="0029728C" w:rsidRPr="00613183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8214AD" w:rsidRPr="0029728C" w:rsidRDefault="008214AD" w:rsidP="005C3EAB">
      <w:pPr>
        <w:ind w:left="1134"/>
      </w:pPr>
    </w:p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A40" w:rsidRDefault="00684A40">
      <w:r>
        <w:separator/>
      </w:r>
    </w:p>
  </w:endnote>
  <w:endnote w:type="continuationSeparator" w:id="0">
    <w:p w:rsidR="00684A40" w:rsidRDefault="00684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A40" w:rsidRDefault="00684A40">
      <w:r>
        <w:separator/>
      </w:r>
    </w:p>
  </w:footnote>
  <w:footnote w:type="continuationSeparator" w:id="0">
    <w:p w:rsidR="00684A40" w:rsidRDefault="00684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33CF4"/>
    <w:rsid w:val="000365DE"/>
    <w:rsid w:val="00056330"/>
    <w:rsid w:val="00057CC4"/>
    <w:rsid w:val="00067251"/>
    <w:rsid w:val="00071AFA"/>
    <w:rsid w:val="000C6622"/>
    <w:rsid w:val="000D109C"/>
    <w:rsid w:val="000D1B37"/>
    <w:rsid w:val="000F38ED"/>
    <w:rsid w:val="0011278E"/>
    <w:rsid w:val="00121BF9"/>
    <w:rsid w:val="00132DB6"/>
    <w:rsid w:val="001441BF"/>
    <w:rsid w:val="00147CF5"/>
    <w:rsid w:val="00151948"/>
    <w:rsid w:val="001A03A8"/>
    <w:rsid w:val="001E44AA"/>
    <w:rsid w:val="001F2471"/>
    <w:rsid w:val="0020149D"/>
    <w:rsid w:val="00202C21"/>
    <w:rsid w:val="00221E72"/>
    <w:rsid w:val="00230011"/>
    <w:rsid w:val="00234D36"/>
    <w:rsid w:val="00255E31"/>
    <w:rsid w:val="00290A8E"/>
    <w:rsid w:val="00291996"/>
    <w:rsid w:val="00291BAD"/>
    <w:rsid w:val="0029728C"/>
    <w:rsid w:val="002C1A5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56422"/>
    <w:rsid w:val="003569F7"/>
    <w:rsid w:val="00357914"/>
    <w:rsid w:val="00376621"/>
    <w:rsid w:val="0038372B"/>
    <w:rsid w:val="003A0689"/>
    <w:rsid w:val="003B7433"/>
    <w:rsid w:val="003C260A"/>
    <w:rsid w:val="003E717B"/>
    <w:rsid w:val="00415360"/>
    <w:rsid w:val="004349BE"/>
    <w:rsid w:val="00452F26"/>
    <w:rsid w:val="004545BB"/>
    <w:rsid w:val="00467D45"/>
    <w:rsid w:val="004B3913"/>
    <w:rsid w:val="004C3288"/>
    <w:rsid w:val="004D2027"/>
    <w:rsid w:val="004E0FA5"/>
    <w:rsid w:val="004E1BC1"/>
    <w:rsid w:val="00512501"/>
    <w:rsid w:val="0051515F"/>
    <w:rsid w:val="00563880"/>
    <w:rsid w:val="0056694B"/>
    <w:rsid w:val="0056722B"/>
    <w:rsid w:val="005715CA"/>
    <w:rsid w:val="00577CDA"/>
    <w:rsid w:val="005A0EC8"/>
    <w:rsid w:val="005A5A94"/>
    <w:rsid w:val="005A6E9E"/>
    <w:rsid w:val="005B7666"/>
    <w:rsid w:val="005C2410"/>
    <w:rsid w:val="005C3EAB"/>
    <w:rsid w:val="00606842"/>
    <w:rsid w:val="00607311"/>
    <w:rsid w:val="00615A27"/>
    <w:rsid w:val="006167D8"/>
    <w:rsid w:val="0062100B"/>
    <w:rsid w:val="006456C1"/>
    <w:rsid w:val="0066729E"/>
    <w:rsid w:val="00684A40"/>
    <w:rsid w:val="00686BBB"/>
    <w:rsid w:val="006A0D67"/>
    <w:rsid w:val="006A479B"/>
    <w:rsid w:val="006E1D11"/>
    <w:rsid w:val="006E2173"/>
    <w:rsid w:val="00713CF9"/>
    <w:rsid w:val="00744FA5"/>
    <w:rsid w:val="00765A46"/>
    <w:rsid w:val="00771B0C"/>
    <w:rsid w:val="00787819"/>
    <w:rsid w:val="00797010"/>
    <w:rsid w:val="007B31D5"/>
    <w:rsid w:val="007C18B4"/>
    <w:rsid w:val="007F32A4"/>
    <w:rsid w:val="00801025"/>
    <w:rsid w:val="008072CF"/>
    <w:rsid w:val="00815331"/>
    <w:rsid w:val="008214AD"/>
    <w:rsid w:val="008258AA"/>
    <w:rsid w:val="00834B92"/>
    <w:rsid w:val="0084321F"/>
    <w:rsid w:val="0085320D"/>
    <w:rsid w:val="008712C8"/>
    <w:rsid w:val="0089175B"/>
    <w:rsid w:val="008C552C"/>
    <w:rsid w:val="00910EB2"/>
    <w:rsid w:val="00922311"/>
    <w:rsid w:val="009513BE"/>
    <w:rsid w:val="00955A21"/>
    <w:rsid w:val="00967BDD"/>
    <w:rsid w:val="00974A7F"/>
    <w:rsid w:val="00975682"/>
    <w:rsid w:val="009756DB"/>
    <w:rsid w:val="00981CFA"/>
    <w:rsid w:val="009838F5"/>
    <w:rsid w:val="00992AE5"/>
    <w:rsid w:val="00995555"/>
    <w:rsid w:val="009970D3"/>
    <w:rsid w:val="00997C6D"/>
    <w:rsid w:val="009A7C08"/>
    <w:rsid w:val="009B3853"/>
    <w:rsid w:val="009B72F1"/>
    <w:rsid w:val="009D02E6"/>
    <w:rsid w:val="00A2788A"/>
    <w:rsid w:val="00A313F9"/>
    <w:rsid w:val="00A34FAA"/>
    <w:rsid w:val="00A602AC"/>
    <w:rsid w:val="00AA12D2"/>
    <w:rsid w:val="00AB226B"/>
    <w:rsid w:val="00AC25FC"/>
    <w:rsid w:val="00AC36B2"/>
    <w:rsid w:val="00AD71B4"/>
    <w:rsid w:val="00AE3CCE"/>
    <w:rsid w:val="00B10B68"/>
    <w:rsid w:val="00B21BCF"/>
    <w:rsid w:val="00B37136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7CAE"/>
    <w:rsid w:val="00BF013B"/>
    <w:rsid w:val="00C0484E"/>
    <w:rsid w:val="00C263D1"/>
    <w:rsid w:val="00C40E8F"/>
    <w:rsid w:val="00C518CD"/>
    <w:rsid w:val="00C577BA"/>
    <w:rsid w:val="00C962F9"/>
    <w:rsid w:val="00CA5954"/>
    <w:rsid w:val="00CB296A"/>
    <w:rsid w:val="00CD0A87"/>
    <w:rsid w:val="00CD23BC"/>
    <w:rsid w:val="00CD3662"/>
    <w:rsid w:val="00CE1481"/>
    <w:rsid w:val="00D26991"/>
    <w:rsid w:val="00D310AF"/>
    <w:rsid w:val="00D36ABF"/>
    <w:rsid w:val="00D44E96"/>
    <w:rsid w:val="00D4591B"/>
    <w:rsid w:val="00D462BA"/>
    <w:rsid w:val="00D70874"/>
    <w:rsid w:val="00D751B6"/>
    <w:rsid w:val="00D861A2"/>
    <w:rsid w:val="00D94EA6"/>
    <w:rsid w:val="00DE1E57"/>
    <w:rsid w:val="00DE5C8E"/>
    <w:rsid w:val="00DE7830"/>
    <w:rsid w:val="00E03097"/>
    <w:rsid w:val="00E14E30"/>
    <w:rsid w:val="00E1602B"/>
    <w:rsid w:val="00E17EAE"/>
    <w:rsid w:val="00E23199"/>
    <w:rsid w:val="00E2447A"/>
    <w:rsid w:val="00E363F2"/>
    <w:rsid w:val="00E5357F"/>
    <w:rsid w:val="00E6143B"/>
    <w:rsid w:val="00E722AC"/>
    <w:rsid w:val="00E75058"/>
    <w:rsid w:val="00EB2DDF"/>
    <w:rsid w:val="00EE7743"/>
    <w:rsid w:val="00EF4DBC"/>
    <w:rsid w:val="00F11B08"/>
    <w:rsid w:val="00F16EA3"/>
    <w:rsid w:val="00F20B1D"/>
    <w:rsid w:val="00F424A5"/>
    <w:rsid w:val="00F502B1"/>
    <w:rsid w:val="00F550EC"/>
    <w:rsid w:val="00FA0BE2"/>
    <w:rsid w:val="00FA224F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2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30</cp:revision>
  <cp:lastPrinted>2015-05-26T16:19:00Z</cp:lastPrinted>
  <dcterms:created xsi:type="dcterms:W3CDTF">2016-06-22T14:56:00Z</dcterms:created>
  <dcterms:modified xsi:type="dcterms:W3CDTF">2017-02-17T13:50:00Z</dcterms:modified>
</cp:coreProperties>
</file>