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290A8E">
        <w:rPr>
          <w:rFonts w:ascii="Verdana" w:hAnsi="Verdana"/>
          <w:sz w:val="28"/>
        </w:rPr>
        <w:t>3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5B7666">
        <w:rPr>
          <w:rFonts w:ascii="Verdana" w:hAnsi="Verdana"/>
          <w:b/>
        </w:rPr>
        <w:t>6</w:t>
      </w:r>
    </w:p>
    <w:p w:rsidR="00067251" w:rsidRPr="00F42680" w:rsidRDefault="00067251" w:rsidP="005C3EAB">
      <w:pPr>
        <w:ind w:left="1134"/>
        <w:rPr>
          <w:rFonts w:ascii="Verdana" w:hAnsi="Verdana"/>
        </w:rPr>
      </w:pPr>
    </w:p>
    <w:p w:rsidR="00067251" w:rsidRPr="0049431A" w:rsidRDefault="00067251" w:rsidP="005C3EAB">
      <w:pPr>
        <w:ind w:left="1134"/>
        <w:rPr>
          <w:rFonts w:ascii="Verdana" w:hAnsi="Verdana"/>
        </w:rPr>
      </w:pPr>
    </w:p>
    <w:p w:rsidR="0029728C" w:rsidRDefault="0029728C" w:rsidP="005C3EAB">
      <w:pPr>
        <w:ind w:left="1134"/>
        <w:rPr>
          <w:rFonts w:ascii="Verdana" w:hAnsi="Verdana"/>
          <w:b/>
        </w:rPr>
      </w:pPr>
      <w:bookmarkStart w:id="0" w:name="_GoBack"/>
      <w:bookmarkEnd w:id="0"/>
    </w:p>
    <w:p w:rsidR="0029728C" w:rsidRPr="00067251" w:rsidRDefault="0029728C" w:rsidP="005C3EAB">
      <w:pPr>
        <w:ind w:left="1134"/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2F23E4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10B68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B10B68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2F23E4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2F23E4" w:rsidRPr="00B10B68">
        <w:rPr>
          <w:rFonts w:ascii="Verdana" w:eastAsia="Calibri" w:hAnsi="Verdana"/>
          <w:sz w:val="22"/>
          <w:szCs w:val="22"/>
          <w:lang w:eastAsia="en-US"/>
        </w:rPr>
        <w:t xml:space="preserve">y de Capital ingresados en el </w:t>
      </w:r>
      <w:r w:rsidR="002F23E4">
        <w:rPr>
          <w:rFonts w:ascii="Verdana" w:eastAsia="Calibri" w:hAnsi="Verdana"/>
          <w:sz w:val="22"/>
          <w:szCs w:val="22"/>
          <w:lang w:eastAsia="en-US"/>
        </w:rPr>
        <w:t>tercer</w:t>
      </w:r>
      <w:r w:rsidR="002F23E4" w:rsidRPr="00B10B68">
        <w:rPr>
          <w:rFonts w:ascii="Verdana" w:eastAsia="Calibri" w:hAnsi="Verdana"/>
          <w:sz w:val="22"/>
          <w:szCs w:val="22"/>
          <w:lang w:eastAsia="en-US"/>
        </w:rPr>
        <w:t xml:space="preserve"> trimestre superaron al programado, en forma global, en un </w:t>
      </w:r>
      <w:r w:rsidR="00997C6D">
        <w:rPr>
          <w:rFonts w:ascii="Verdana" w:eastAsia="Calibri" w:hAnsi="Verdana"/>
          <w:sz w:val="22"/>
          <w:szCs w:val="22"/>
          <w:lang w:eastAsia="en-US"/>
        </w:rPr>
        <w:t>9,9</w:t>
      </w:r>
      <w:r w:rsidR="002F23E4" w:rsidRPr="00B10B68">
        <w:rPr>
          <w:rFonts w:ascii="Verdana" w:eastAsia="Calibri" w:hAnsi="Verdana"/>
          <w:sz w:val="22"/>
          <w:szCs w:val="22"/>
          <w:lang w:eastAsia="en-US"/>
        </w:rPr>
        <w:t>%.</w:t>
      </w:r>
    </w:p>
    <w:p w:rsidR="00B75FE2" w:rsidRPr="009513BE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9513BE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ha </w:t>
      </w:r>
      <w:r w:rsidR="00975682" w:rsidRPr="009513BE">
        <w:rPr>
          <w:rFonts w:ascii="Verdana" w:eastAsia="Calibri" w:hAnsi="Verdana"/>
          <w:sz w:val="22"/>
          <w:szCs w:val="22"/>
          <w:lang w:eastAsia="en-US"/>
        </w:rPr>
        <w:t>superado</w:t>
      </w:r>
      <w:r w:rsidRPr="009513BE">
        <w:rPr>
          <w:rFonts w:ascii="Verdana" w:eastAsia="Calibri" w:hAnsi="Verdana"/>
          <w:sz w:val="22"/>
          <w:szCs w:val="22"/>
          <w:lang w:eastAsia="en-US"/>
        </w:rPr>
        <w:t xml:space="preserve"> las expectativas de las pautas presupuestarias</w:t>
      </w:r>
      <w:r w:rsidR="000D1B37" w:rsidRPr="009513BE">
        <w:rPr>
          <w:rFonts w:ascii="Verdana" w:eastAsia="Calibri" w:hAnsi="Verdana"/>
          <w:sz w:val="22"/>
          <w:szCs w:val="22"/>
          <w:lang w:eastAsia="en-US"/>
        </w:rPr>
        <w:t xml:space="preserve"> y la programación financiera del trimestre</w:t>
      </w:r>
      <w:r w:rsidR="00AA12D2" w:rsidRPr="009513BE">
        <w:rPr>
          <w:rFonts w:ascii="Verdana" w:eastAsia="Calibri" w:hAnsi="Verdana"/>
          <w:sz w:val="22"/>
          <w:szCs w:val="22"/>
          <w:lang w:eastAsia="en-US"/>
        </w:rPr>
        <w:t xml:space="preserve"> en un </w:t>
      </w:r>
      <w:r w:rsidR="00997C6D" w:rsidRPr="009513BE">
        <w:rPr>
          <w:rFonts w:ascii="Verdana" w:eastAsia="Calibri" w:hAnsi="Verdana"/>
          <w:sz w:val="22"/>
          <w:szCs w:val="22"/>
          <w:lang w:eastAsia="en-US"/>
        </w:rPr>
        <w:t>10,09</w:t>
      </w:r>
      <w:r w:rsidR="009513BE" w:rsidRPr="009513BE">
        <w:rPr>
          <w:rFonts w:ascii="Verdana" w:eastAsia="Calibri" w:hAnsi="Verdana"/>
          <w:sz w:val="22"/>
          <w:szCs w:val="22"/>
          <w:lang w:eastAsia="en-US"/>
        </w:rPr>
        <w:t>%.</w:t>
      </w:r>
    </w:p>
    <w:p w:rsidR="00B75FE2" w:rsidRPr="009513BE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>En cuanto a los Recursos de Capital el mismo se ha ejecutado en m</w:t>
      </w:r>
      <w:r w:rsidR="009513BE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>enor</w:t>
      </w:r>
      <w:r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910EB2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>siendo</w:t>
      </w:r>
      <w:r w:rsidR="00CA5954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512501">
        <w:rPr>
          <w:rFonts w:ascii="Verdana" w:eastAsia="Calibri" w:hAnsi="Verdana" w:cs="Arial"/>
          <w:color w:val="000000"/>
          <w:sz w:val="22"/>
          <w:szCs w:val="22"/>
          <w:lang w:eastAsia="en-US"/>
        </w:rPr>
        <w:t>0,</w:t>
      </w:r>
      <w:r w:rsidR="009513BE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>33</w:t>
      </w:r>
      <w:r w:rsidR="00910EB2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9513BE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>inferior</w:t>
      </w:r>
      <w:r w:rsidR="00B720A9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respecto a lo programado. </w:t>
      </w:r>
      <w:r w:rsidR="009513BE" w:rsidRPr="009513BE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</w:t>
      </w:r>
    </w:p>
    <w:p w:rsidR="00B75FE2" w:rsidRPr="00290A8E" w:rsidRDefault="00B75FE2" w:rsidP="005C3EAB">
      <w:pPr>
        <w:spacing w:line="360" w:lineRule="auto"/>
        <w:ind w:left="1134"/>
        <w:jc w:val="both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512501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Los Gastos Corrientes  y de Capital se ejecutaron en menor medida a lo programado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en un 1</w:t>
      </w:r>
      <w:r w:rsidR="00512501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1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%. </w:t>
      </w:r>
      <w:r w:rsidR="00512501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="00512501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devengaron 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en un 1</w:t>
      </w:r>
      <w:r w:rsidR="00512501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2,4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% menor a lo programado, 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debido a la aplicación de los Decreto Acuerdo  del presente año Nro. </w:t>
      </w:r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65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, (el que prohíbe</w:t>
      </w:r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todo incremento de la partida de Personal por Designación, Ajuste de la situación de revista, Suplemento por </w:t>
      </w:r>
      <w:proofErr w:type="spellStart"/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subrogancia</w:t>
      </w:r>
      <w:proofErr w:type="spellEnd"/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y Contrataciones por el sistema de locaciones de servicio, de obra u honorarios determinados en horas módulo deportivo, la suspensión de la firma de nuevos Convenios, toda adquisición de bienes de capital que no cuente con autorización expresa del Sr. Gobernador)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con lo  que se busca lograr en el mediano plazo una 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lastRenderedPageBreak/>
        <w:t xml:space="preserve">razonable correspondencia entre los Recursos </w:t>
      </w:r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ingresados</w:t>
      </w:r>
      <w:r w:rsidR="00CD3662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y </w:t>
      </w:r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Gastos</w:t>
      </w:r>
      <w:r w:rsidR="0051515F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devengados por 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el Estado Provincial.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En las Erogaciones de Capital </w:t>
      </w:r>
      <w:r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512501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se ejecutó un 7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% m</w:t>
      </w:r>
      <w:r w:rsidR="00512501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>ayor</w:t>
      </w:r>
      <w:r w:rsidR="0011278E" w:rsidRPr="0051250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a lo programado.</w:t>
      </w:r>
    </w:p>
    <w:p w:rsidR="001441BF" w:rsidRPr="00290A8E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1441BF" w:rsidRPr="008072CF" w:rsidRDefault="001441BF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8072CF">
        <w:rPr>
          <w:rFonts w:ascii="Verdana" w:eastAsia="Calibri" w:hAnsi="Verdana"/>
          <w:sz w:val="22"/>
          <w:szCs w:val="22"/>
          <w:lang w:eastAsia="en-US"/>
        </w:rPr>
        <w:t>Los mayores ingresos de</w:t>
      </w:r>
      <w:r w:rsidR="00512501" w:rsidRPr="008072CF">
        <w:rPr>
          <w:rFonts w:ascii="Verdana" w:eastAsia="Calibri" w:hAnsi="Verdana"/>
          <w:sz w:val="22"/>
          <w:szCs w:val="22"/>
          <w:lang w:eastAsia="en-US"/>
        </w:rPr>
        <w:t xml:space="preserve">l Total de los </w:t>
      </w:r>
      <w:r w:rsidRPr="008072CF">
        <w:rPr>
          <w:rFonts w:ascii="Verdana" w:eastAsia="Calibri" w:hAnsi="Verdana"/>
          <w:sz w:val="22"/>
          <w:szCs w:val="22"/>
          <w:lang w:eastAsia="en-US"/>
        </w:rPr>
        <w:t>Recursos, sumados a los menores egresos de</w:t>
      </w:r>
      <w:r w:rsidR="00512501" w:rsidRPr="008072CF">
        <w:rPr>
          <w:rFonts w:ascii="Verdana" w:eastAsia="Calibri" w:hAnsi="Verdana"/>
          <w:sz w:val="22"/>
          <w:szCs w:val="22"/>
          <w:lang w:eastAsia="en-US"/>
        </w:rPr>
        <w:t>l Total de los</w:t>
      </w:r>
      <w:r w:rsidRPr="008072CF">
        <w:rPr>
          <w:rFonts w:ascii="Verdana" w:eastAsia="Calibri" w:hAnsi="Verdana"/>
          <w:sz w:val="22"/>
          <w:szCs w:val="22"/>
          <w:lang w:eastAsia="en-US"/>
        </w:rPr>
        <w:t xml:space="preserve"> Gastos, sumados a las fuentes de financiamiento (uso del crédito), permitieron cubrir la necesidad de financiamiento del trimestre para afrontar el pago de los intereses y gastos de la deuda pública, como también la amortización de los mismos, </w:t>
      </w:r>
      <w:r w:rsidR="008072CF" w:rsidRPr="008072CF">
        <w:rPr>
          <w:rFonts w:ascii="Verdana" w:eastAsia="Calibri" w:hAnsi="Verdana"/>
          <w:sz w:val="22"/>
          <w:szCs w:val="22"/>
          <w:lang w:eastAsia="en-US"/>
        </w:rPr>
        <w:t xml:space="preserve">produciéndose un Resultado Financiero positivo, </w:t>
      </w:r>
      <w:r w:rsidRPr="008072CF">
        <w:rPr>
          <w:rFonts w:ascii="Verdana" w:eastAsia="Calibri" w:hAnsi="Verdana"/>
          <w:sz w:val="22"/>
          <w:szCs w:val="22"/>
          <w:lang w:eastAsia="en-US"/>
        </w:rPr>
        <w:t xml:space="preserve">debido a que los ingresos en concepto de fuentes de financiamiento fueron muy </w:t>
      </w:r>
      <w:r w:rsidR="008072CF" w:rsidRPr="008072CF">
        <w:rPr>
          <w:rFonts w:ascii="Verdana" w:eastAsia="Calibri" w:hAnsi="Verdana"/>
          <w:sz w:val="22"/>
          <w:szCs w:val="22"/>
          <w:lang w:eastAsia="en-US"/>
        </w:rPr>
        <w:t>superiores</w:t>
      </w:r>
      <w:r w:rsidRPr="008072CF">
        <w:rPr>
          <w:rFonts w:ascii="Verdana" w:eastAsia="Calibri" w:hAnsi="Verdana"/>
          <w:sz w:val="22"/>
          <w:szCs w:val="22"/>
          <w:lang w:eastAsia="en-US"/>
        </w:rPr>
        <w:t xml:space="preserve"> a lo programado, y las aplicaciones resultaron </w:t>
      </w:r>
      <w:r w:rsidR="008072CF" w:rsidRPr="008072CF">
        <w:rPr>
          <w:rFonts w:ascii="Verdana" w:eastAsia="Calibri" w:hAnsi="Verdana"/>
          <w:sz w:val="22"/>
          <w:szCs w:val="22"/>
          <w:lang w:eastAsia="en-US"/>
        </w:rPr>
        <w:t>algo infer</w:t>
      </w:r>
      <w:r w:rsidRPr="008072CF">
        <w:rPr>
          <w:rFonts w:ascii="Verdana" w:eastAsia="Calibri" w:hAnsi="Verdana"/>
          <w:sz w:val="22"/>
          <w:szCs w:val="22"/>
          <w:lang w:eastAsia="en-US"/>
        </w:rPr>
        <w:t>iores al estimado</w:t>
      </w:r>
      <w:r w:rsidR="008072CF" w:rsidRPr="008072CF">
        <w:rPr>
          <w:rFonts w:ascii="Verdana" w:eastAsia="Calibri" w:hAnsi="Verdana"/>
          <w:sz w:val="22"/>
          <w:szCs w:val="22"/>
          <w:lang w:eastAsia="en-US"/>
        </w:rPr>
        <w:t xml:space="preserve"> para el trimestre</w:t>
      </w:r>
      <w:r w:rsidRPr="008072CF">
        <w:rPr>
          <w:rFonts w:ascii="Verdana" w:eastAsia="Calibri" w:hAnsi="Verdana"/>
          <w:sz w:val="22"/>
          <w:szCs w:val="22"/>
          <w:lang w:eastAsia="en-US"/>
        </w:rPr>
        <w:t>.</w:t>
      </w:r>
    </w:p>
    <w:p w:rsidR="00910EB2" w:rsidRDefault="00910EB2" w:rsidP="005C3EAB">
      <w:pPr>
        <w:pStyle w:val="Prrafodelista"/>
        <w:ind w:left="1134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22B" w:rsidRDefault="0056722B">
      <w:r>
        <w:separator/>
      </w:r>
    </w:p>
  </w:endnote>
  <w:endnote w:type="continuationSeparator" w:id="0">
    <w:p w:rsidR="0056722B" w:rsidRDefault="0056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22B" w:rsidRDefault="0056722B">
      <w:r>
        <w:separator/>
      </w:r>
    </w:p>
  </w:footnote>
  <w:footnote w:type="continuationSeparator" w:id="0">
    <w:p w:rsidR="0056722B" w:rsidRDefault="00567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221CA"/>
    <w:rsid w:val="00033CF4"/>
    <w:rsid w:val="000365DE"/>
    <w:rsid w:val="00056330"/>
    <w:rsid w:val="00057CC4"/>
    <w:rsid w:val="00067251"/>
    <w:rsid w:val="00071AFA"/>
    <w:rsid w:val="000C6622"/>
    <w:rsid w:val="000D109C"/>
    <w:rsid w:val="000D1B37"/>
    <w:rsid w:val="000F38ED"/>
    <w:rsid w:val="0011278E"/>
    <w:rsid w:val="00121BF9"/>
    <w:rsid w:val="00132DB6"/>
    <w:rsid w:val="001441BF"/>
    <w:rsid w:val="00147CF5"/>
    <w:rsid w:val="00151948"/>
    <w:rsid w:val="001A03A8"/>
    <w:rsid w:val="001E44AA"/>
    <w:rsid w:val="001F2471"/>
    <w:rsid w:val="0020149D"/>
    <w:rsid w:val="00202C21"/>
    <w:rsid w:val="00221E72"/>
    <w:rsid w:val="00230011"/>
    <w:rsid w:val="00234D36"/>
    <w:rsid w:val="00255E31"/>
    <w:rsid w:val="00290A8E"/>
    <w:rsid w:val="00291996"/>
    <w:rsid w:val="00291BAD"/>
    <w:rsid w:val="0029728C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791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B3913"/>
    <w:rsid w:val="004C3288"/>
    <w:rsid w:val="004D2027"/>
    <w:rsid w:val="004E0FA5"/>
    <w:rsid w:val="00512501"/>
    <w:rsid w:val="0051515F"/>
    <w:rsid w:val="00563880"/>
    <w:rsid w:val="0056694B"/>
    <w:rsid w:val="0056722B"/>
    <w:rsid w:val="005715CA"/>
    <w:rsid w:val="00577CDA"/>
    <w:rsid w:val="005A0EC8"/>
    <w:rsid w:val="005A5A94"/>
    <w:rsid w:val="005A6E9E"/>
    <w:rsid w:val="005B7666"/>
    <w:rsid w:val="005C2410"/>
    <w:rsid w:val="005C3EAB"/>
    <w:rsid w:val="00606842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E1D11"/>
    <w:rsid w:val="006E2173"/>
    <w:rsid w:val="00713CF9"/>
    <w:rsid w:val="00744FA5"/>
    <w:rsid w:val="00765A46"/>
    <w:rsid w:val="00771B0C"/>
    <w:rsid w:val="00787819"/>
    <w:rsid w:val="00797010"/>
    <w:rsid w:val="007B31D5"/>
    <w:rsid w:val="007C18B4"/>
    <w:rsid w:val="007F32A4"/>
    <w:rsid w:val="00801025"/>
    <w:rsid w:val="008072CF"/>
    <w:rsid w:val="00815331"/>
    <w:rsid w:val="008214AD"/>
    <w:rsid w:val="008258AA"/>
    <w:rsid w:val="00834B92"/>
    <w:rsid w:val="0084321F"/>
    <w:rsid w:val="0085320D"/>
    <w:rsid w:val="008712C8"/>
    <w:rsid w:val="0089175B"/>
    <w:rsid w:val="008C552C"/>
    <w:rsid w:val="00910EB2"/>
    <w:rsid w:val="009513BE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97C6D"/>
    <w:rsid w:val="009A7C08"/>
    <w:rsid w:val="009B3853"/>
    <w:rsid w:val="009B72F1"/>
    <w:rsid w:val="009D02E6"/>
    <w:rsid w:val="00A2788A"/>
    <w:rsid w:val="00A313F9"/>
    <w:rsid w:val="00A34FAA"/>
    <w:rsid w:val="00A602AC"/>
    <w:rsid w:val="00AA12D2"/>
    <w:rsid w:val="00AB226B"/>
    <w:rsid w:val="00AC25FC"/>
    <w:rsid w:val="00AC36B2"/>
    <w:rsid w:val="00AD71B4"/>
    <w:rsid w:val="00AE3CCE"/>
    <w:rsid w:val="00B10B68"/>
    <w:rsid w:val="00B21BCF"/>
    <w:rsid w:val="00B37136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C0484E"/>
    <w:rsid w:val="00C263D1"/>
    <w:rsid w:val="00C40E8F"/>
    <w:rsid w:val="00C518CD"/>
    <w:rsid w:val="00C577BA"/>
    <w:rsid w:val="00C962F9"/>
    <w:rsid w:val="00CA5954"/>
    <w:rsid w:val="00CB296A"/>
    <w:rsid w:val="00CD0A87"/>
    <w:rsid w:val="00CD23BC"/>
    <w:rsid w:val="00CD3662"/>
    <w:rsid w:val="00CE1481"/>
    <w:rsid w:val="00D26991"/>
    <w:rsid w:val="00D310AF"/>
    <w:rsid w:val="00D36ABF"/>
    <w:rsid w:val="00D44E96"/>
    <w:rsid w:val="00D4591B"/>
    <w:rsid w:val="00D462BA"/>
    <w:rsid w:val="00D70874"/>
    <w:rsid w:val="00D751B6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447A"/>
    <w:rsid w:val="00E363F2"/>
    <w:rsid w:val="00E5357F"/>
    <w:rsid w:val="00E6143B"/>
    <w:rsid w:val="00E722AC"/>
    <w:rsid w:val="00E75058"/>
    <w:rsid w:val="00EB2DDF"/>
    <w:rsid w:val="00EE7743"/>
    <w:rsid w:val="00EF4DBC"/>
    <w:rsid w:val="00F16EA3"/>
    <w:rsid w:val="00F20B1D"/>
    <w:rsid w:val="00F424A5"/>
    <w:rsid w:val="00F502B1"/>
    <w:rsid w:val="00F550EC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23</cp:revision>
  <cp:lastPrinted>2015-05-26T16:19:00Z</cp:lastPrinted>
  <dcterms:created xsi:type="dcterms:W3CDTF">2016-06-22T14:56:00Z</dcterms:created>
  <dcterms:modified xsi:type="dcterms:W3CDTF">2016-11-21T12:32:00Z</dcterms:modified>
</cp:coreProperties>
</file>