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7E6923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2.01</w:t>
      </w:r>
      <w:r w:rsidR="00417DC8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D977C3" w:rsidRDefault="00D977C3" w:rsidP="00D977C3">
      <w:pPr>
        <w:numPr>
          <w:ilvl w:val="0"/>
          <w:numId w:val="7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Presupuesto de  Ley aprobado Nº 9.</w:t>
      </w:r>
      <w:r w:rsidR="00417DC8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/201</w:t>
      </w:r>
      <w:r w:rsidR="00417DC8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 se asignaron a esta I.G.S. las siguientes partidas:</w:t>
      </w:r>
    </w:p>
    <w:p w:rsidR="00D977C3" w:rsidRDefault="00D977C3" w:rsidP="00D977C3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6.704.384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214</w:t>
      </w:r>
      <w:r w:rsidRPr="001E538C">
        <w:rPr>
          <w:color w:val="000000"/>
          <w:sz w:val="24"/>
          <w:szCs w:val="24"/>
        </w:rPr>
        <w:t>,00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162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387.974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1444E3" w:rsidRPr="001A182B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1444E3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448.569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9B51F5" w:rsidRDefault="009B51F5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85"/>
        <w:gridCol w:w="770"/>
        <w:gridCol w:w="1497"/>
        <w:gridCol w:w="1045"/>
        <w:gridCol w:w="1418"/>
        <w:gridCol w:w="1315"/>
        <w:gridCol w:w="1585"/>
      </w:tblGrid>
      <w:tr w:rsidR="00232BCE" w:rsidTr="00232BCE">
        <w:trPr>
          <w:trHeight w:val="315"/>
        </w:trPr>
        <w:tc>
          <w:tcPr>
            <w:tcW w:w="6070" w:type="dxa"/>
            <w:gridSpan w:val="5"/>
            <w:noWrap/>
            <w:vAlign w:val="bottom"/>
            <w:hideMark/>
          </w:tcPr>
          <w:p w:rsidR="00D977C3" w:rsidRPr="00232BCE" w:rsidRDefault="00D977C3" w:rsidP="00232BCE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201</w:t>
            </w:r>
            <w:r w:rsidR="00417DC8"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9</w:t>
            </w:r>
          </w:p>
          <w:p w:rsidR="00232BCE" w:rsidRPr="00232BCE" w:rsidRDefault="00232BCE" w:rsidP="00232BCE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335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1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232BCE" w:rsidTr="00232BCE">
        <w:trPr>
          <w:trHeight w:val="315"/>
        </w:trPr>
        <w:tc>
          <w:tcPr>
            <w:tcW w:w="1406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5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2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8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35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1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1444E3" w:rsidP="001444E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6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.70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38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4,00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1444E3" w:rsidP="001444E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.70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384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1444E3" w:rsidP="001444E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51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6,00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1444E3" w:rsidP="001444E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109.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3,20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1444E3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01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2,80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833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57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766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771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067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085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.2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62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442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649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771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624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50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199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232BCE">
              <w:rPr>
                <w:rFonts w:eastAsia="Times New Roman" w:cs="Calibri"/>
                <w:color w:val="000000"/>
                <w:lang w:val="es-AR" w:eastAsia="es-AR"/>
              </w:rPr>
              <w:t>29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424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71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974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448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69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1.576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90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77C3" w:rsidRDefault="00232BCE" w:rsidP="00232BC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71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.6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78</w:t>
            </w:r>
            <w:r w:rsidR="00D977C3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31</w:t>
            </w:r>
          </w:p>
        </w:tc>
      </w:tr>
      <w:tr w:rsidR="00232BCE" w:rsidTr="00232BCE">
        <w:trPr>
          <w:trHeight w:val="300"/>
        </w:trPr>
        <w:tc>
          <w:tcPr>
            <w:tcW w:w="1406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5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2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941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8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35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1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CA28C4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201</w:t>
      </w:r>
      <w:r w:rsidR="00232BCE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En cuanto a la partida de personal permanente, personal temporario y cargos vacantes, la partida es insuficiente toda vez que no se ha contemplado los aumentos otorgados por el Poder Ejecutivo. Se ha solicitado Personal al Ministerio de Seguridad</w:t>
      </w:r>
      <w:r w:rsidR="00CE30E8">
        <w:rPr>
          <w:sz w:val="24"/>
          <w:szCs w:val="24"/>
        </w:rPr>
        <w:t>, se esta gestionando el traspaso definitivo del personal civil olicial y penitenciario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E6923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0A1572">
        <w:rPr>
          <w:rStyle w:val="z-label"/>
        </w:rPr>
        <w:t>EX-2019-02494289- -GDEMZA-MGTYJ , se envió al usuario: MPUERTAS</w:t>
      </w:r>
      <w:r>
        <w:rPr>
          <w:sz w:val="24"/>
          <w:szCs w:val="24"/>
        </w:rPr>
        <w:t>,</w:t>
      </w:r>
      <w:r w:rsidRPr="00880FDC">
        <w:rPr>
          <w:sz w:val="24"/>
          <w:szCs w:val="24"/>
        </w:rPr>
        <w:t xml:space="preserve"> en función de las partidas que autoriza el Ministerio de hacienda, el Poder Ejecutivo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2319</w:t>
      </w:r>
      <w:r w:rsidR="007E6923">
        <w:rPr>
          <w:sz w:val="24"/>
          <w:szCs w:val="24"/>
        </w:rPr>
        <w:t>/201</w:t>
      </w:r>
      <w:r w:rsidR="009B51F5">
        <w:rPr>
          <w:sz w:val="24"/>
          <w:szCs w:val="24"/>
        </w:rPr>
        <w:t>8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los movilidades. </w:t>
      </w:r>
      <w:r w:rsidR="007E6923">
        <w:rPr>
          <w:sz w:val="24"/>
          <w:szCs w:val="24"/>
        </w:rPr>
        <w:t>se restringieron las compras de Bienes de Capital</w:t>
      </w:r>
      <w:r w:rsidR="00CB0773">
        <w:rPr>
          <w:sz w:val="24"/>
          <w:szCs w:val="24"/>
        </w:rPr>
        <w:t xml:space="preserve"> </w:t>
      </w:r>
      <w:r>
        <w:rPr>
          <w:sz w:val="24"/>
          <w:szCs w:val="24"/>
        </w:rPr>
        <w:t>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417DC8">
        <w:rPr>
          <w:sz w:val="24"/>
          <w:szCs w:val="24"/>
        </w:rPr>
        <w:t>0</w:t>
      </w:r>
      <w:r w:rsidRPr="006C253A">
        <w:rPr>
          <w:sz w:val="24"/>
          <w:szCs w:val="24"/>
        </w:rPr>
        <w:t xml:space="preserve"> de </w:t>
      </w:r>
      <w:r w:rsidR="007E6923">
        <w:rPr>
          <w:sz w:val="24"/>
          <w:szCs w:val="24"/>
        </w:rPr>
        <w:t>mayo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201</w:t>
      </w:r>
      <w:r w:rsidR="00417DC8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85E99"/>
    <w:rsid w:val="000116AF"/>
    <w:rsid w:val="000138EE"/>
    <w:rsid w:val="00015DB3"/>
    <w:rsid w:val="00041F74"/>
    <w:rsid w:val="000462D9"/>
    <w:rsid w:val="00065512"/>
    <w:rsid w:val="00085A60"/>
    <w:rsid w:val="00093186"/>
    <w:rsid w:val="000A1572"/>
    <w:rsid w:val="000E1CC2"/>
    <w:rsid w:val="000E7E7D"/>
    <w:rsid w:val="00100C0A"/>
    <w:rsid w:val="00107700"/>
    <w:rsid w:val="00111BF9"/>
    <w:rsid w:val="00114615"/>
    <w:rsid w:val="001444E3"/>
    <w:rsid w:val="00163CCD"/>
    <w:rsid w:val="001703BA"/>
    <w:rsid w:val="0017289E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32BCE"/>
    <w:rsid w:val="00251625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C242B"/>
    <w:rsid w:val="003D5FCB"/>
    <w:rsid w:val="003F0D0A"/>
    <w:rsid w:val="003F23FF"/>
    <w:rsid w:val="00400715"/>
    <w:rsid w:val="004101AE"/>
    <w:rsid w:val="00417DC8"/>
    <w:rsid w:val="004218A0"/>
    <w:rsid w:val="00424F9F"/>
    <w:rsid w:val="00426EC0"/>
    <w:rsid w:val="00432364"/>
    <w:rsid w:val="00434E1D"/>
    <w:rsid w:val="004434B5"/>
    <w:rsid w:val="00446A7B"/>
    <w:rsid w:val="0045366E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A06E6C"/>
    <w:rsid w:val="00A1207A"/>
    <w:rsid w:val="00A16022"/>
    <w:rsid w:val="00A4606B"/>
    <w:rsid w:val="00A50BC4"/>
    <w:rsid w:val="00A800CA"/>
    <w:rsid w:val="00A8208D"/>
    <w:rsid w:val="00A914D1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91C32"/>
    <w:rsid w:val="00D93633"/>
    <w:rsid w:val="00D977C3"/>
    <w:rsid w:val="00DB0F85"/>
    <w:rsid w:val="00DD3D89"/>
    <w:rsid w:val="00E10D74"/>
    <w:rsid w:val="00E15228"/>
    <w:rsid w:val="00E23E87"/>
    <w:rsid w:val="00E30DFA"/>
    <w:rsid w:val="00E41064"/>
    <w:rsid w:val="00E6780C"/>
    <w:rsid w:val="00E738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2019-05-28T12:20:00Z</dcterms:created>
  <dcterms:modified xsi:type="dcterms:W3CDTF">2019-05-28T12:20:00Z</dcterms:modified>
</cp:coreProperties>
</file>