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28C" w:rsidRPr="00BD38DE" w:rsidRDefault="0029728C" w:rsidP="0029728C">
      <w:pPr>
        <w:jc w:val="center"/>
        <w:rPr>
          <w:rFonts w:ascii="Verdana" w:hAnsi="Verdana"/>
          <w:sz w:val="36"/>
          <w:szCs w:val="36"/>
          <w:u w:val="single"/>
        </w:rPr>
      </w:pPr>
      <w:r w:rsidRPr="00BD38DE">
        <w:rPr>
          <w:rFonts w:ascii="Verdana" w:hAnsi="Verdana"/>
          <w:sz w:val="36"/>
          <w:szCs w:val="36"/>
          <w:u w:val="single"/>
        </w:rPr>
        <w:t xml:space="preserve">ACUERDO </w:t>
      </w:r>
      <w:r w:rsidR="00765A46" w:rsidRPr="00BD38DE">
        <w:rPr>
          <w:rFonts w:ascii="Verdana" w:hAnsi="Verdana"/>
          <w:sz w:val="36"/>
          <w:szCs w:val="36"/>
          <w:u w:val="single"/>
        </w:rPr>
        <w:t>3949</w:t>
      </w:r>
      <w:r w:rsidR="00BD38DE">
        <w:rPr>
          <w:rFonts w:ascii="Verdana" w:hAnsi="Verdana"/>
          <w:sz w:val="36"/>
          <w:szCs w:val="36"/>
          <w:u w:val="single"/>
        </w:rPr>
        <w:t xml:space="preserve"> </w:t>
      </w:r>
    </w:p>
    <w:p w:rsidR="00067251" w:rsidRDefault="00067251" w:rsidP="00067251">
      <w:pPr>
        <w:jc w:val="center"/>
        <w:rPr>
          <w:rFonts w:ascii="Verdana" w:hAnsi="Verdana"/>
          <w:sz w:val="36"/>
          <w:u w:val="single"/>
        </w:rPr>
      </w:pPr>
    </w:p>
    <w:p w:rsidR="00067251" w:rsidRPr="0049431A" w:rsidRDefault="00067251" w:rsidP="00067251">
      <w:pPr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067251" w:rsidRPr="0049431A" w:rsidRDefault="00067251" w:rsidP="00067251">
      <w:pPr>
        <w:rPr>
          <w:rFonts w:ascii="Verdana" w:hAnsi="Verdana"/>
          <w:sz w:val="36"/>
        </w:rPr>
      </w:pPr>
    </w:p>
    <w:p w:rsidR="00067251" w:rsidRPr="0049431A" w:rsidRDefault="00067251" w:rsidP="00067251">
      <w:pPr>
        <w:rPr>
          <w:rFonts w:ascii="Verdana" w:hAnsi="Verdana"/>
          <w:sz w:val="28"/>
          <w:u w:val="single"/>
        </w:rPr>
      </w:pPr>
    </w:p>
    <w:p w:rsidR="00067251" w:rsidRPr="0049431A" w:rsidRDefault="00067251" w:rsidP="00067251">
      <w:pPr>
        <w:rPr>
          <w:rFonts w:ascii="Verdana" w:hAnsi="Verdana"/>
          <w:sz w:val="28"/>
          <w:u w:val="single"/>
        </w:rPr>
      </w:pPr>
    </w:p>
    <w:p w:rsidR="00067251" w:rsidRPr="0049431A" w:rsidRDefault="00067251" w:rsidP="00067251">
      <w:pPr>
        <w:rPr>
          <w:rFonts w:ascii="Verdana" w:hAnsi="Verdana"/>
        </w:rPr>
      </w:pPr>
      <w:r>
        <w:rPr>
          <w:rFonts w:ascii="Verdana" w:hAnsi="Verdana"/>
          <w:sz w:val="28"/>
        </w:rPr>
        <w:t>ADMINISTRACION CENTRAL</w:t>
      </w:r>
      <w:r w:rsidRPr="0049431A">
        <w:rPr>
          <w:rFonts w:ascii="Verdana" w:hAnsi="Verdana"/>
          <w:sz w:val="28"/>
        </w:rPr>
        <w:t xml:space="preserve">: </w:t>
      </w:r>
      <w:r w:rsidR="009B3853">
        <w:rPr>
          <w:rFonts w:ascii="Verdana" w:hAnsi="Verdana"/>
          <w:sz w:val="28"/>
        </w:rPr>
        <w:t>2</w:t>
      </w:r>
      <w:r w:rsidRPr="0049431A">
        <w:rPr>
          <w:rFonts w:ascii="Verdana" w:hAnsi="Verdana"/>
          <w:b/>
          <w:sz w:val="28"/>
        </w:rPr>
        <w:t>°</w:t>
      </w:r>
      <w:r w:rsidRPr="0049431A">
        <w:rPr>
          <w:rFonts w:ascii="Verdana" w:hAnsi="Verdana"/>
          <w:b/>
        </w:rPr>
        <w:t xml:space="preserve"> TRIMESTRE 201</w:t>
      </w:r>
      <w:r w:rsidR="005B7666">
        <w:rPr>
          <w:rFonts w:ascii="Verdana" w:hAnsi="Verdana"/>
          <w:b/>
        </w:rPr>
        <w:t>6</w:t>
      </w:r>
    </w:p>
    <w:p w:rsidR="00067251" w:rsidRPr="00F42680" w:rsidRDefault="00067251" w:rsidP="00067251">
      <w:pPr>
        <w:rPr>
          <w:rFonts w:ascii="Verdana" w:hAnsi="Verdana"/>
        </w:rPr>
      </w:pPr>
    </w:p>
    <w:p w:rsidR="00067251" w:rsidRPr="0049431A" w:rsidRDefault="00067251" w:rsidP="00067251">
      <w:pPr>
        <w:rPr>
          <w:rFonts w:ascii="Verdana" w:hAnsi="Verdana"/>
        </w:rPr>
      </w:pPr>
    </w:p>
    <w:p w:rsidR="0029728C" w:rsidRDefault="0029728C" w:rsidP="0029728C">
      <w:pPr>
        <w:rPr>
          <w:rFonts w:ascii="Verdana" w:hAnsi="Verdana"/>
          <w:b/>
        </w:rPr>
      </w:pPr>
    </w:p>
    <w:p w:rsidR="0029728C" w:rsidRPr="00067251" w:rsidRDefault="0029728C" w:rsidP="0029728C">
      <w:pPr>
        <w:rPr>
          <w:rFonts w:ascii="Verdana" w:hAnsi="Verdana"/>
        </w:rPr>
      </w:pPr>
      <w:r w:rsidRPr="00067251">
        <w:rPr>
          <w:rFonts w:ascii="Verdana" w:hAnsi="Verdana"/>
        </w:rPr>
        <w:t>ARTICULO 27 INC. C:</w:t>
      </w:r>
    </w:p>
    <w:p w:rsidR="0029728C" w:rsidRDefault="0029728C" w:rsidP="0029728C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29728C" w:rsidRDefault="0029728C" w:rsidP="0029728C">
      <w:pPr>
        <w:spacing w:line="360" w:lineRule="auto"/>
        <w:jc w:val="both"/>
        <w:rPr>
          <w:rFonts w:ascii="Verdana" w:hAnsi="Verdana"/>
          <w:b/>
          <w:u w:val="single"/>
        </w:rPr>
      </w:pPr>
      <w:r w:rsidRPr="00613183">
        <w:rPr>
          <w:rFonts w:ascii="Verdana" w:hAnsi="Verdana"/>
          <w:b/>
          <w:u w:val="single"/>
        </w:rPr>
        <w:t xml:space="preserve">CAUSAS DE INCUMPLIMIENTOS DE LAS METAS </w:t>
      </w:r>
    </w:p>
    <w:p w:rsidR="006A0D67" w:rsidRDefault="006A0D67" w:rsidP="0029728C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D751B6" w:rsidRPr="00D751B6" w:rsidRDefault="00A313F9" w:rsidP="00B75FE2">
      <w:pPr>
        <w:numPr>
          <w:ilvl w:val="0"/>
          <w:numId w:val="1"/>
        </w:numPr>
        <w:spacing w:after="200" w:line="360" w:lineRule="auto"/>
        <w:jc w:val="both"/>
        <w:rPr>
          <w:rFonts w:ascii="Verdana" w:eastAsia="Calibri" w:hAnsi="Verdana"/>
          <w:sz w:val="22"/>
          <w:szCs w:val="22"/>
          <w:lang w:eastAsia="en-US"/>
        </w:rPr>
      </w:pPr>
      <w:r>
        <w:rPr>
          <w:rFonts w:ascii="Verdana" w:eastAsia="Calibri" w:hAnsi="Verdana"/>
          <w:sz w:val="22"/>
          <w:szCs w:val="22"/>
          <w:lang w:eastAsia="en-US"/>
        </w:rPr>
        <w:t>Según se observa en el Anexo 4 de la Administración Central, l</w:t>
      </w:r>
      <w:r w:rsidR="00B75FE2" w:rsidRPr="00D751B6">
        <w:rPr>
          <w:rFonts w:ascii="Verdana" w:eastAsia="Calibri" w:hAnsi="Verdana"/>
          <w:sz w:val="22"/>
          <w:szCs w:val="22"/>
          <w:lang w:eastAsia="en-US"/>
        </w:rPr>
        <w:t xml:space="preserve">os Recursos Corrientes </w:t>
      </w:r>
      <w:r w:rsidR="00E6143B">
        <w:rPr>
          <w:rFonts w:ascii="Verdana" w:eastAsia="Calibri" w:hAnsi="Verdana"/>
          <w:sz w:val="22"/>
          <w:szCs w:val="22"/>
          <w:lang w:eastAsia="en-US"/>
        </w:rPr>
        <w:t xml:space="preserve">y de Capital </w:t>
      </w:r>
      <w:r w:rsidR="00D751B6" w:rsidRPr="00D751B6">
        <w:rPr>
          <w:rFonts w:ascii="Verdana" w:eastAsia="Calibri" w:hAnsi="Verdana"/>
          <w:sz w:val="22"/>
          <w:szCs w:val="22"/>
          <w:lang w:eastAsia="en-US"/>
        </w:rPr>
        <w:t>ingresado</w:t>
      </w:r>
      <w:r w:rsidR="00D751B6">
        <w:rPr>
          <w:rFonts w:ascii="Verdana" w:eastAsia="Calibri" w:hAnsi="Verdana"/>
          <w:sz w:val="22"/>
          <w:szCs w:val="22"/>
          <w:lang w:eastAsia="en-US"/>
        </w:rPr>
        <w:t>s</w:t>
      </w:r>
      <w:r w:rsidR="00D751B6" w:rsidRPr="00D751B6">
        <w:rPr>
          <w:rFonts w:ascii="Verdana" w:eastAsia="Calibri" w:hAnsi="Verdana"/>
          <w:sz w:val="22"/>
          <w:szCs w:val="22"/>
          <w:lang w:eastAsia="en-US"/>
        </w:rPr>
        <w:t xml:space="preserve"> en el </w:t>
      </w:r>
      <w:r w:rsidR="00D751B6">
        <w:rPr>
          <w:rFonts w:ascii="Verdana" w:eastAsia="Calibri" w:hAnsi="Verdana"/>
          <w:sz w:val="22"/>
          <w:szCs w:val="22"/>
          <w:lang w:eastAsia="en-US"/>
        </w:rPr>
        <w:t xml:space="preserve">segundo </w:t>
      </w:r>
      <w:r w:rsidR="00D751B6" w:rsidRPr="00D751B6">
        <w:rPr>
          <w:rFonts w:ascii="Verdana" w:eastAsia="Calibri" w:hAnsi="Verdana"/>
          <w:sz w:val="22"/>
          <w:szCs w:val="22"/>
          <w:lang w:eastAsia="en-US"/>
        </w:rPr>
        <w:t xml:space="preserve">trimestre </w:t>
      </w:r>
      <w:r w:rsidR="00D751B6">
        <w:rPr>
          <w:rFonts w:ascii="Verdana" w:eastAsia="Calibri" w:hAnsi="Verdana"/>
          <w:sz w:val="22"/>
          <w:szCs w:val="22"/>
          <w:lang w:eastAsia="en-US"/>
        </w:rPr>
        <w:t>superaron al programado, en forma global, en un 4%.</w:t>
      </w:r>
    </w:p>
    <w:p w:rsidR="00B75FE2" w:rsidRPr="00975682" w:rsidRDefault="00B75FE2" w:rsidP="00BA75AA">
      <w:pPr>
        <w:numPr>
          <w:ilvl w:val="0"/>
          <w:numId w:val="1"/>
        </w:numPr>
        <w:spacing w:after="200" w:line="276" w:lineRule="auto"/>
        <w:ind w:left="708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975682">
        <w:rPr>
          <w:rFonts w:ascii="Verdana" w:eastAsia="Calibri" w:hAnsi="Verdana"/>
          <w:sz w:val="22"/>
          <w:szCs w:val="22"/>
          <w:lang w:eastAsia="en-US"/>
        </w:rPr>
        <w:t xml:space="preserve">La recaudación de los Recursos Corrientes, ha </w:t>
      </w:r>
      <w:r w:rsidR="00975682">
        <w:rPr>
          <w:rFonts w:ascii="Verdana" w:eastAsia="Calibri" w:hAnsi="Verdana"/>
          <w:sz w:val="22"/>
          <w:szCs w:val="22"/>
          <w:lang w:eastAsia="en-US"/>
        </w:rPr>
        <w:t>superado</w:t>
      </w:r>
      <w:r w:rsidRPr="00975682">
        <w:rPr>
          <w:rFonts w:ascii="Verdana" w:eastAsia="Calibri" w:hAnsi="Verdana"/>
          <w:sz w:val="22"/>
          <w:szCs w:val="22"/>
          <w:lang w:eastAsia="en-US"/>
        </w:rPr>
        <w:t xml:space="preserve"> las expectativas de las pautas presupuestarias</w:t>
      </w:r>
      <w:r w:rsidR="000D1B37" w:rsidRPr="00975682">
        <w:rPr>
          <w:rFonts w:ascii="Verdana" w:eastAsia="Calibri" w:hAnsi="Verdana"/>
          <w:sz w:val="22"/>
          <w:szCs w:val="22"/>
          <w:lang w:eastAsia="en-US"/>
        </w:rPr>
        <w:t xml:space="preserve"> y la programación financiera del trimestre</w:t>
      </w:r>
      <w:r w:rsidR="00AA12D2">
        <w:rPr>
          <w:rFonts w:ascii="Verdana" w:eastAsia="Calibri" w:hAnsi="Verdana"/>
          <w:sz w:val="22"/>
          <w:szCs w:val="22"/>
          <w:lang w:eastAsia="en-US"/>
        </w:rPr>
        <w:t xml:space="preserve"> en un 3%, principalmente en el Impuesto a los Ingresos Brutos</w:t>
      </w:r>
      <w:r w:rsidR="0051515F" w:rsidRPr="00975682">
        <w:rPr>
          <w:rFonts w:ascii="Verdana" w:eastAsia="Calibri" w:hAnsi="Verdana"/>
          <w:sz w:val="22"/>
          <w:szCs w:val="22"/>
          <w:lang w:eastAsia="en-US"/>
        </w:rPr>
        <w:t>.</w:t>
      </w:r>
      <w:r w:rsidR="000D1B37" w:rsidRPr="00975682">
        <w:rPr>
          <w:rFonts w:ascii="Verdana" w:eastAsia="Calibri" w:hAnsi="Verdana"/>
          <w:sz w:val="22"/>
          <w:szCs w:val="22"/>
          <w:lang w:eastAsia="en-US"/>
        </w:rPr>
        <w:t xml:space="preserve"> Si bien los Recursos Corrientes de Origen Provincial superaron lo programado</w:t>
      </w:r>
      <w:r w:rsidR="00AA12D2">
        <w:rPr>
          <w:rFonts w:ascii="Verdana" w:eastAsia="Calibri" w:hAnsi="Verdana"/>
          <w:sz w:val="22"/>
          <w:szCs w:val="22"/>
          <w:lang w:eastAsia="en-US"/>
        </w:rPr>
        <w:t xml:space="preserve"> en un 18%</w:t>
      </w:r>
      <w:r w:rsidR="000D1B37" w:rsidRPr="00975682">
        <w:rPr>
          <w:rFonts w:ascii="Verdana" w:eastAsia="Calibri" w:hAnsi="Verdana"/>
          <w:sz w:val="22"/>
          <w:szCs w:val="22"/>
          <w:lang w:eastAsia="en-US"/>
        </w:rPr>
        <w:t xml:space="preserve">, los de Origen Nacional estuvieron levemente por </w:t>
      </w:r>
      <w:r w:rsidR="00AA12D2">
        <w:rPr>
          <w:rFonts w:ascii="Verdana" w:eastAsia="Calibri" w:hAnsi="Verdana"/>
          <w:sz w:val="22"/>
          <w:szCs w:val="22"/>
          <w:lang w:eastAsia="en-US"/>
        </w:rPr>
        <w:t>debajo</w:t>
      </w:r>
      <w:r w:rsidR="000D1B37" w:rsidRPr="00975682">
        <w:rPr>
          <w:rFonts w:ascii="Verdana" w:eastAsia="Calibri" w:hAnsi="Verdana"/>
          <w:sz w:val="22"/>
          <w:szCs w:val="22"/>
          <w:lang w:eastAsia="en-US"/>
        </w:rPr>
        <w:t xml:space="preserve"> de lo programado en lo referente a la Coparticipación Federal de Impuestos y Regímenes Especiales, </w:t>
      </w:r>
      <w:r w:rsidR="00AA12D2">
        <w:rPr>
          <w:rFonts w:ascii="Verdana" w:eastAsia="Calibri" w:hAnsi="Verdana"/>
          <w:sz w:val="22"/>
          <w:szCs w:val="22"/>
          <w:lang w:eastAsia="en-US"/>
        </w:rPr>
        <w:t>y</w:t>
      </w:r>
      <w:r w:rsidR="000D1B37" w:rsidRPr="00975682">
        <w:rPr>
          <w:rFonts w:ascii="Verdana" w:eastAsia="Calibri" w:hAnsi="Verdana"/>
          <w:sz w:val="22"/>
          <w:szCs w:val="22"/>
          <w:lang w:eastAsia="en-US"/>
        </w:rPr>
        <w:t xml:space="preserve"> Aportes No Reintegrables estimados, dado que ingresaron solo el </w:t>
      </w:r>
      <w:r w:rsidR="00AA12D2">
        <w:rPr>
          <w:rFonts w:ascii="Verdana" w:eastAsia="Calibri" w:hAnsi="Verdana"/>
          <w:sz w:val="22"/>
          <w:szCs w:val="22"/>
          <w:lang w:eastAsia="en-US"/>
        </w:rPr>
        <w:t>1</w:t>
      </w:r>
      <w:r w:rsidR="000D1B37" w:rsidRPr="00975682">
        <w:rPr>
          <w:rFonts w:ascii="Verdana" w:eastAsia="Calibri" w:hAnsi="Verdana"/>
          <w:sz w:val="22"/>
          <w:szCs w:val="22"/>
          <w:lang w:eastAsia="en-US"/>
        </w:rPr>
        <w:t xml:space="preserve">% </w:t>
      </w:r>
      <w:r w:rsidR="00AA12D2">
        <w:rPr>
          <w:rFonts w:ascii="Verdana" w:eastAsia="Calibri" w:hAnsi="Verdana"/>
          <w:sz w:val="22"/>
          <w:szCs w:val="22"/>
          <w:lang w:eastAsia="en-US"/>
        </w:rPr>
        <w:t xml:space="preserve">menos </w:t>
      </w:r>
      <w:r w:rsidR="000D1B37" w:rsidRPr="00975682">
        <w:rPr>
          <w:rFonts w:ascii="Verdana" w:eastAsia="Calibri" w:hAnsi="Verdana"/>
          <w:sz w:val="22"/>
          <w:szCs w:val="22"/>
          <w:lang w:eastAsia="en-US"/>
        </w:rPr>
        <w:t xml:space="preserve">de lo programado, produciendo un </w:t>
      </w:r>
      <w:r w:rsidR="0011278E">
        <w:rPr>
          <w:rFonts w:ascii="Verdana" w:eastAsia="Calibri" w:hAnsi="Verdana"/>
          <w:sz w:val="22"/>
          <w:szCs w:val="22"/>
          <w:lang w:eastAsia="en-US"/>
        </w:rPr>
        <w:t>superávit</w:t>
      </w:r>
      <w:r w:rsidR="000D1B37" w:rsidRPr="00975682">
        <w:rPr>
          <w:rFonts w:ascii="Verdana" w:eastAsia="Calibri" w:hAnsi="Verdana"/>
          <w:sz w:val="22"/>
          <w:szCs w:val="22"/>
          <w:lang w:eastAsia="en-US"/>
        </w:rPr>
        <w:t xml:space="preserve"> total de Recursos Corrientes</w:t>
      </w:r>
      <w:r w:rsidR="00AA12D2">
        <w:rPr>
          <w:rFonts w:ascii="Verdana" w:eastAsia="Calibri" w:hAnsi="Verdana"/>
          <w:sz w:val="22"/>
          <w:szCs w:val="22"/>
          <w:lang w:eastAsia="en-US"/>
        </w:rPr>
        <w:t xml:space="preserve">. </w:t>
      </w:r>
    </w:p>
    <w:p w:rsidR="00B75FE2" w:rsidRPr="009B3853" w:rsidRDefault="00B75FE2" w:rsidP="00B75FE2">
      <w:pPr>
        <w:spacing w:line="360" w:lineRule="auto"/>
        <w:ind w:left="720"/>
        <w:jc w:val="both"/>
        <w:rPr>
          <w:rFonts w:ascii="Verdana" w:eastAsia="Calibri" w:hAnsi="Verdana"/>
          <w:sz w:val="22"/>
          <w:szCs w:val="22"/>
          <w:highlight w:val="yellow"/>
          <w:lang w:eastAsia="en-US"/>
        </w:rPr>
      </w:pPr>
    </w:p>
    <w:p w:rsidR="00B75FE2" w:rsidRPr="00033CF4" w:rsidRDefault="00B75FE2" w:rsidP="00B75FE2">
      <w:pPr>
        <w:numPr>
          <w:ilvl w:val="0"/>
          <w:numId w:val="1"/>
        </w:numPr>
        <w:spacing w:after="200" w:line="360" w:lineRule="auto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033CF4">
        <w:rPr>
          <w:rFonts w:ascii="Verdana" w:eastAsia="Calibri" w:hAnsi="Verdana" w:cs="Arial"/>
          <w:color w:val="000000"/>
          <w:sz w:val="22"/>
          <w:szCs w:val="22"/>
          <w:lang w:eastAsia="en-US"/>
        </w:rPr>
        <w:t>En cuanto a los Recursos de Capital el mismo se ha ejecutado en m</w:t>
      </w:r>
      <w:r w:rsidR="00033CF4" w:rsidRPr="00033CF4">
        <w:rPr>
          <w:rFonts w:ascii="Verdana" w:eastAsia="Calibri" w:hAnsi="Verdana" w:cs="Arial"/>
          <w:color w:val="000000"/>
          <w:sz w:val="22"/>
          <w:szCs w:val="22"/>
          <w:lang w:eastAsia="en-US"/>
        </w:rPr>
        <w:t>ayor</w:t>
      </w:r>
      <w:r w:rsidRPr="00033CF4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medid</w:t>
      </w:r>
      <w:r w:rsidR="00CA5954" w:rsidRPr="00033CF4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a a lo programado originalmente, </w:t>
      </w:r>
      <w:r w:rsidR="00910EB2" w:rsidRPr="00033CF4">
        <w:rPr>
          <w:rFonts w:ascii="Verdana" w:eastAsia="Calibri" w:hAnsi="Verdana" w:cs="Arial"/>
          <w:color w:val="000000"/>
          <w:sz w:val="22"/>
          <w:szCs w:val="22"/>
          <w:lang w:eastAsia="en-US"/>
        </w:rPr>
        <w:t>siendo</w:t>
      </w:r>
      <w:r w:rsidR="00CA5954" w:rsidRPr="00033CF4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lo ingresado</w:t>
      </w:r>
      <w:r w:rsidR="00910EB2" w:rsidRPr="00033CF4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un </w:t>
      </w:r>
      <w:r w:rsidR="00033CF4" w:rsidRPr="00033CF4">
        <w:rPr>
          <w:rFonts w:ascii="Verdana" w:eastAsia="Calibri" w:hAnsi="Verdana" w:cs="Arial"/>
          <w:color w:val="000000"/>
          <w:sz w:val="22"/>
          <w:szCs w:val="22"/>
          <w:lang w:eastAsia="en-US"/>
        </w:rPr>
        <w:t>52</w:t>
      </w:r>
      <w:r w:rsidR="00910EB2" w:rsidRPr="00033CF4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% </w:t>
      </w:r>
      <w:r w:rsidR="00033CF4" w:rsidRPr="00033CF4">
        <w:rPr>
          <w:rFonts w:ascii="Verdana" w:eastAsia="Calibri" w:hAnsi="Verdana" w:cs="Arial"/>
          <w:color w:val="000000"/>
          <w:sz w:val="22"/>
          <w:szCs w:val="22"/>
          <w:lang w:eastAsia="en-US"/>
        </w:rPr>
        <w:t>superior</w:t>
      </w:r>
      <w:r w:rsidR="00B720A9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respecto a lo programado. El principal componente de son</w:t>
      </w:r>
      <w:r w:rsidR="00033CF4" w:rsidRPr="00033CF4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</w:t>
      </w:r>
      <w:r w:rsidR="00CA5954" w:rsidRPr="00033CF4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los </w:t>
      </w:r>
      <w:r w:rsidR="00033CF4" w:rsidRPr="00033CF4">
        <w:rPr>
          <w:rFonts w:ascii="Verdana" w:eastAsia="Calibri" w:hAnsi="Verdana" w:cs="Arial"/>
          <w:color w:val="000000"/>
          <w:sz w:val="22"/>
          <w:szCs w:val="22"/>
          <w:lang w:eastAsia="en-US"/>
        </w:rPr>
        <w:t>r</w:t>
      </w:r>
      <w:r w:rsidR="00CA5954" w:rsidRPr="00033CF4">
        <w:rPr>
          <w:rFonts w:ascii="Verdana" w:eastAsia="Calibri" w:hAnsi="Verdana" w:cs="Arial"/>
          <w:color w:val="000000"/>
          <w:sz w:val="22"/>
          <w:szCs w:val="22"/>
          <w:lang w:eastAsia="en-US"/>
        </w:rPr>
        <w:t>ecursos provenientes del Fondo Federal Solidario</w:t>
      </w:r>
      <w:r w:rsidR="00B720A9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que representa</w:t>
      </w:r>
      <w:r w:rsidR="0011278E">
        <w:rPr>
          <w:rFonts w:ascii="Verdana" w:eastAsia="Calibri" w:hAnsi="Verdana" w:cs="Arial"/>
          <w:color w:val="000000"/>
          <w:sz w:val="22"/>
          <w:szCs w:val="22"/>
          <w:lang w:eastAsia="en-US"/>
        </w:rPr>
        <w:t>n</w:t>
      </w:r>
      <w:r w:rsidR="00B720A9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más del 97% de lo ingresado</w:t>
      </w:r>
      <w:r w:rsidR="00A602AC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en </w:t>
      </w:r>
      <w:r w:rsidR="00B720A9">
        <w:rPr>
          <w:rFonts w:ascii="Verdana" w:eastAsia="Calibri" w:hAnsi="Verdana" w:cs="Arial"/>
          <w:color w:val="000000"/>
          <w:sz w:val="22"/>
          <w:szCs w:val="22"/>
          <w:lang w:eastAsia="en-US"/>
        </w:rPr>
        <w:t>los recursos de capital</w:t>
      </w:r>
      <w:r w:rsidR="00CA5954" w:rsidRPr="00033CF4">
        <w:rPr>
          <w:rFonts w:ascii="Verdana" w:eastAsia="Calibri" w:hAnsi="Verdana" w:cs="Arial"/>
          <w:color w:val="000000"/>
          <w:sz w:val="22"/>
          <w:szCs w:val="22"/>
          <w:lang w:eastAsia="en-US"/>
        </w:rPr>
        <w:t>.</w:t>
      </w:r>
    </w:p>
    <w:p w:rsidR="00B75FE2" w:rsidRPr="009B3853" w:rsidRDefault="00B75FE2" w:rsidP="00B75FE2">
      <w:pPr>
        <w:spacing w:line="360" w:lineRule="auto"/>
        <w:ind w:left="360"/>
        <w:jc w:val="both"/>
        <w:rPr>
          <w:rFonts w:ascii="Verdana" w:eastAsia="Calibri" w:hAnsi="Verdana"/>
          <w:sz w:val="22"/>
          <w:szCs w:val="22"/>
          <w:highlight w:val="yellow"/>
          <w:lang w:eastAsia="en-US"/>
        </w:rPr>
      </w:pPr>
    </w:p>
    <w:p w:rsidR="00B75FE2" w:rsidRPr="001441BF" w:rsidRDefault="00B75FE2" w:rsidP="00C60D42">
      <w:pPr>
        <w:numPr>
          <w:ilvl w:val="0"/>
          <w:numId w:val="1"/>
        </w:numPr>
        <w:spacing w:after="200" w:line="360" w:lineRule="auto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11278E">
        <w:rPr>
          <w:rFonts w:ascii="Verdana" w:eastAsia="Calibri" w:hAnsi="Verdana"/>
          <w:color w:val="000000"/>
          <w:sz w:val="22"/>
          <w:szCs w:val="22"/>
          <w:lang w:eastAsia="en-US"/>
        </w:rPr>
        <w:t>Los Gastos Corrientes  y de Capital se ejecutaron en menor medida a lo programado</w:t>
      </w:r>
      <w:r w:rsidR="0011278E" w:rsidRPr="0011278E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en un 19%. En las Erogaciones Corrientes en un 18% menor a lo programado, </w:t>
      </w:r>
      <w:r w:rsidRPr="0011278E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debido a la aplicación de los Decreto Acuerdo  del presente </w:t>
      </w:r>
      <w:r w:rsidRPr="0011278E">
        <w:rPr>
          <w:rFonts w:ascii="Verdana" w:eastAsia="Calibri" w:hAnsi="Verdana"/>
          <w:color w:val="000000"/>
          <w:sz w:val="22"/>
          <w:szCs w:val="22"/>
          <w:lang w:eastAsia="en-US"/>
        </w:rPr>
        <w:lastRenderedPageBreak/>
        <w:t xml:space="preserve">año Nro. </w:t>
      </w:r>
      <w:r w:rsidR="0051515F" w:rsidRPr="0011278E">
        <w:rPr>
          <w:rFonts w:ascii="Verdana" w:eastAsia="Calibri" w:hAnsi="Verdana"/>
          <w:color w:val="000000"/>
          <w:sz w:val="22"/>
          <w:szCs w:val="22"/>
          <w:lang w:eastAsia="en-US"/>
        </w:rPr>
        <w:t>65</w:t>
      </w:r>
      <w:r w:rsidRPr="0011278E">
        <w:rPr>
          <w:rFonts w:ascii="Verdana" w:eastAsia="Calibri" w:hAnsi="Verdana"/>
          <w:color w:val="000000"/>
          <w:sz w:val="22"/>
          <w:szCs w:val="22"/>
          <w:lang w:eastAsia="en-US"/>
        </w:rPr>
        <w:t>, (el que prohíbe</w:t>
      </w:r>
      <w:r w:rsidR="0051515F" w:rsidRPr="0011278E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todo incremento de la partida de Personal por Designación, Ajuste de la situación de revista, Suplemento por </w:t>
      </w:r>
      <w:proofErr w:type="spellStart"/>
      <w:r w:rsidR="0051515F" w:rsidRPr="0011278E">
        <w:rPr>
          <w:rFonts w:ascii="Verdana" w:eastAsia="Calibri" w:hAnsi="Verdana"/>
          <w:color w:val="000000"/>
          <w:sz w:val="22"/>
          <w:szCs w:val="22"/>
          <w:lang w:eastAsia="en-US"/>
        </w:rPr>
        <w:t>subrogancia</w:t>
      </w:r>
      <w:proofErr w:type="spellEnd"/>
      <w:r w:rsidR="0051515F" w:rsidRPr="0011278E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y Contrataciones por el sistema de locaciones de servicio, de obra u honorarios determinados en horas módulo deportivo, la suspensión de la firma de nuevos Convenios, toda adquisición de bienes de capital que no cuente con autorización expresa del Sr. Gobernador)</w:t>
      </w:r>
      <w:r w:rsidRPr="0011278E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, con lo  que se busca lograr en el mediano plazo una razonable correspondencia entre los Recursos </w:t>
      </w:r>
      <w:r w:rsidR="0051515F" w:rsidRPr="0011278E">
        <w:rPr>
          <w:rFonts w:ascii="Verdana" w:eastAsia="Calibri" w:hAnsi="Verdana"/>
          <w:color w:val="000000"/>
          <w:sz w:val="22"/>
          <w:szCs w:val="22"/>
          <w:lang w:eastAsia="en-US"/>
        </w:rPr>
        <w:t>ingresados</w:t>
      </w:r>
      <w:r w:rsidR="00CD3662" w:rsidRPr="0011278E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, </w:t>
      </w:r>
      <w:r w:rsidRPr="0011278E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y </w:t>
      </w:r>
      <w:r w:rsidR="0051515F" w:rsidRPr="0011278E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los </w:t>
      </w:r>
      <w:r w:rsidRPr="0011278E">
        <w:rPr>
          <w:rFonts w:ascii="Verdana" w:eastAsia="Calibri" w:hAnsi="Verdana"/>
          <w:color w:val="000000"/>
          <w:sz w:val="22"/>
          <w:szCs w:val="22"/>
          <w:lang w:eastAsia="en-US"/>
        </w:rPr>
        <w:t>Gastos</w:t>
      </w:r>
      <w:r w:rsidR="0051515F" w:rsidRPr="0011278E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devengados por </w:t>
      </w:r>
      <w:r w:rsidRPr="0011278E">
        <w:rPr>
          <w:rFonts w:ascii="Verdana" w:eastAsia="Calibri" w:hAnsi="Verdana"/>
          <w:color w:val="000000"/>
          <w:sz w:val="22"/>
          <w:szCs w:val="22"/>
          <w:lang w:eastAsia="en-US"/>
        </w:rPr>
        <w:t>el Estado Provincial.</w:t>
      </w:r>
      <w:r w:rsidR="0011278E" w:rsidRPr="0011278E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En las Erogaciones de Capital </w:t>
      </w:r>
      <w:r w:rsidRPr="0011278E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</w:t>
      </w:r>
      <w:r w:rsidR="0011278E" w:rsidRPr="0011278E">
        <w:rPr>
          <w:rFonts w:ascii="Verdana" w:eastAsia="Calibri" w:hAnsi="Verdana"/>
          <w:color w:val="000000"/>
          <w:sz w:val="22"/>
          <w:szCs w:val="22"/>
          <w:lang w:eastAsia="en-US"/>
        </w:rPr>
        <w:t>se ejecutó un 34% menos a lo programado.</w:t>
      </w:r>
    </w:p>
    <w:p w:rsidR="001441BF" w:rsidRDefault="001441BF" w:rsidP="001441BF">
      <w:pPr>
        <w:pStyle w:val="Prrafodelista"/>
        <w:rPr>
          <w:rFonts w:ascii="Verdana" w:eastAsia="Calibri" w:hAnsi="Verdana"/>
          <w:sz w:val="22"/>
          <w:szCs w:val="22"/>
          <w:lang w:eastAsia="en-US"/>
        </w:rPr>
      </w:pPr>
    </w:p>
    <w:p w:rsidR="001441BF" w:rsidRPr="0011278E" w:rsidRDefault="001441BF" w:rsidP="00C60D42">
      <w:pPr>
        <w:numPr>
          <w:ilvl w:val="0"/>
          <w:numId w:val="1"/>
        </w:numPr>
        <w:spacing w:after="200" w:line="360" w:lineRule="auto"/>
        <w:jc w:val="both"/>
        <w:rPr>
          <w:rFonts w:ascii="Verdana" w:eastAsia="Calibri" w:hAnsi="Verdana"/>
          <w:sz w:val="22"/>
          <w:szCs w:val="22"/>
          <w:lang w:eastAsia="en-US"/>
        </w:rPr>
      </w:pPr>
      <w:r>
        <w:rPr>
          <w:rFonts w:ascii="Verdana" w:eastAsia="Calibri" w:hAnsi="Verdana"/>
          <w:sz w:val="22"/>
          <w:szCs w:val="22"/>
          <w:lang w:eastAsia="en-US"/>
        </w:rPr>
        <w:t>Los mayores ingresos de Recursos Corrientes y de Capital, sumados a los menores egresos de Gastos Corrientes y de Capital, sumados a las fuentes de financiamiento (uso del crédito), permitieron cubrir la necesidad de financiamiento del trimestre para afrontar el pago de los intereses y gastos de la deuda pública, como también la amortización de los mismos, debido a que los ingresos en concepto de fuentes de financiamiento fueron muy inferiores a lo programado, y las aplicaciones resultaron superiores a lo estimado.</w:t>
      </w:r>
    </w:p>
    <w:p w:rsidR="00B75FE2" w:rsidRPr="009B3853" w:rsidRDefault="00B75FE2" w:rsidP="00B75FE2">
      <w:pPr>
        <w:spacing w:line="360" w:lineRule="auto"/>
        <w:ind w:left="360"/>
        <w:jc w:val="both"/>
        <w:rPr>
          <w:rFonts w:ascii="Verdana" w:eastAsia="Calibri" w:hAnsi="Verdana"/>
          <w:color w:val="000000"/>
          <w:sz w:val="22"/>
          <w:szCs w:val="22"/>
          <w:highlight w:val="yellow"/>
          <w:lang w:eastAsia="en-US"/>
        </w:rPr>
      </w:pPr>
    </w:p>
    <w:p w:rsidR="00B75FE2" w:rsidRPr="001441BF" w:rsidRDefault="00B75FE2" w:rsidP="00B75FE2">
      <w:pPr>
        <w:numPr>
          <w:ilvl w:val="0"/>
          <w:numId w:val="1"/>
        </w:numPr>
        <w:spacing w:after="200" w:line="360" w:lineRule="auto"/>
        <w:jc w:val="both"/>
        <w:rPr>
          <w:rFonts w:ascii="Verdana" w:eastAsia="Calibri" w:hAnsi="Verdana"/>
          <w:color w:val="000000"/>
          <w:sz w:val="22"/>
          <w:szCs w:val="22"/>
          <w:lang w:eastAsia="en-US"/>
        </w:rPr>
      </w:pPr>
      <w:r w:rsidRPr="001441BF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En las Aplicaciones Financieras se observa una ejecución mayor a lo programado </w:t>
      </w:r>
      <w:r w:rsidR="001441BF" w:rsidRPr="001441BF">
        <w:rPr>
          <w:rFonts w:ascii="Verdana" w:eastAsia="Calibri" w:hAnsi="Verdana"/>
          <w:color w:val="000000"/>
          <w:sz w:val="22"/>
          <w:szCs w:val="22"/>
          <w:lang w:eastAsia="en-US"/>
        </w:rPr>
        <w:t>debida</w:t>
      </w:r>
      <w:r w:rsidRPr="001441BF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al </w:t>
      </w:r>
      <w:proofErr w:type="spellStart"/>
      <w:r w:rsidRPr="001441BF">
        <w:rPr>
          <w:rFonts w:ascii="Verdana" w:eastAsia="Calibri" w:hAnsi="Verdana"/>
          <w:color w:val="000000"/>
          <w:sz w:val="22"/>
          <w:szCs w:val="22"/>
          <w:lang w:eastAsia="en-US"/>
        </w:rPr>
        <w:t>devengamiento</w:t>
      </w:r>
      <w:proofErr w:type="spellEnd"/>
      <w:r w:rsidRPr="001441BF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de las partidas Amortización Deuda Residuos Pasivos (74101) y Amortización Deuda Acreedores Varios (74102).</w:t>
      </w:r>
    </w:p>
    <w:p w:rsidR="00910EB2" w:rsidRDefault="00910EB2" w:rsidP="00910EB2">
      <w:pPr>
        <w:pStyle w:val="Prrafodelista"/>
        <w:rPr>
          <w:rFonts w:ascii="Verdana" w:eastAsia="Calibri" w:hAnsi="Verdana"/>
          <w:color w:val="000000"/>
          <w:sz w:val="22"/>
          <w:szCs w:val="22"/>
          <w:lang w:eastAsia="en-US"/>
        </w:rPr>
      </w:pPr>
      <w:bookmarkStart w:id="0" w:name="_GoBack"/>
      <w:bookmarkEnd w:id="0"/>
    </w:p>
    <w:p w:rsidR="00B75FE2" w:rsidRPr="00B75FE2" w:rsidRDefault="00B75FE2" w:rsidP="00B75FE2">
      <w:pPr>
        <w:spacing w:after="200" w:line="360" w:lineRule="auto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B75FE2" w:rsidRPr="00B75FE2" w:rsidRDefault="00B75FE2" w:rsidP="00B75FE2">
      <w:pPr>
        <w:spacing w:after="200" w:line="360" w:lineRule="auto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B75FE2" w:rsidRPr="00B75FE2" w:rsidRDefault="00B75FE2" w:rsidP="00B75FE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75FE2" w:rsidRPr="00D83C62" w:rsidRDefault="00B75FE2" w:rsidP="0029728C">
      <w:pPr>
        <w:spacing w:line="360" w:lineRule="auto"/>
        <w:ind w:left="720"/>
        <w:jc w:val="both"/>
        <w:rPr>
          <w:rFonts w:ascii="Verdana" w:hAnsi="Verdana"/>
        </w:rPr>
      </w:pPr>
    </w:p>
    <w:p w:rsidR="0029728C" w:rsidRPr="00D83C62" w:rsidRDefault="0029728C" w:rsidP="0029728C">
      <w:pPr>
        <w:spacing w:line="360" w:lineRule="auto"/>
        <w:jc w:val="both"/>
        <w:rPr>
          <w:rFonts w:ascii="Verdana" w:hAnsi="Verdana"/>
        </w:rPr>
      </w:pPr>
    </w:p>
    <w:p w:rsidR="0029728C" w:rsidRPr="00D83C62" w:rsidRDefault="0029728C" w:rsidP="0029728C">
      <w:pPr>
        <w:spacing w:line="360" w:lineRule="auto"/>
        <w:jc w:val="both"/>
        <w:rPr>
          <w:rFonts w:ascii="Verdana" w:hAnsi="Verdana"/>
        </w:rPr>
      </w:pPr>
    </w:p>
    <w:p w:rsidR="0029728C" w:rsidRPr="00D83C62" w:rsidRDefault="0029728C" w:rsidP="0029728C">
      <w:pPr>
        <w:spacing w:line="360" w:lineRule="auto"/>
        <w:ind w:left="360"/>
        <w:jc w:val="both"/>
        <w:rPr>
          <w:rFonts w:ascii="Verdana" w:hAnsi="Verdana"/>
          <w:color w:val="000000"/>
        </w:rPr>
      </w:pPr>
    </w:p>
    <w:p w:rsidR="0029728C" w:rsidRPr="00613183" w:rsidRDefault="0029728C" w:rsidP="0029728C">
      <w:pPr>
        <w:spacing w:line="360" w:lineRule="auto"/>
        <w:jc w:val="both"/>
        <w:rPr>
          <w:rFonts w:ascii="Verdana" w:hAnsi="Verdana"/>
        </w:rPr>
      </w:pPr>
    </w:p>
    <w:p w:rsidR="008214AD" w:rsidRPr="0029728C" w:rsidRDefault="008214AD" w:rsidP="0029728C"/>
    <w:sectPr w:rsidR="008214AD" w:rsidRPr="0029728C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CFA" w:rsidRDefault="00981CFA">
      <w:r>
        <w:separator/>
      </w:r>
    </w:p>
  </w:endnote>
  <w:endnote w:type="continuationSeparator" w:id="0">
    <w:p w:rsidR="00981CFA" w:rsidRDefault="00981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CFA" w:rsidRDefault="00981CFA">
      <w:r>
        <w:separator/>
      </w:r>
    </w:p>
  </w:footnote>
  <w:footnote w:type="continuationSeparator" w:id="0">
    <w:p w:rsidR="00981CFA" w:rsidRDefault="00981C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0C" w:rsidRDefault="005B7666">
    <w:pPr>
      <w:pStyle w:val="Encabezado"/>
    </w:pPr>
    <w:r>
      <w:rPr>
        <w:noProof/>
        <w:lang w:eastAsia="es-AR"/>
      </w:rPr>
      <w:drawing>
        <wp:inline distT="0" distB="0" distL="0" distR="0" wp14:anchorId="0EDE7E04" wp14:editId="0895291D">
          <wp:extent cx="5400040" cy="77089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221CA"/>
    <w:rsid w:val="00033CF4"/>
    <w:rsid w:val="000365DE"/>
    <w:rsid w:val="00056330"/>
    <w:rsid w:val="00057CC4"/>
    <w:rsid w:val="00067251"/>
    <w:rsid w:val="00071AFA"/>
    <w:rsid w:val="000C6622"/>
    <w:rsid w:val="000D109C"/>
    <w:rsid w:val="000D1B37"/>
    <w:rsid w:val="000F38ED"/>
    <w:rsid w:val="0011278E"/>
    <w:rsid w:val="00121BF9"/>
    <w:rsid w:val="00132DB6"/>
    <w:rsid w:val="001441BF"/>
    <w:rsid w:val="00147CF5"/>
    <w:rsid w:val="00151948"/>
    <w:rsid w:val="001A03A8"/>
    <w:rsid w:val="001E44AA"/>
    <w:rsid w:val="001F2471"/>
    <w:rsid w:val="0020149D"/>
    <w:rsid w:val="00202C21"/>
    <w:rsid w:val="00221E72"/>
    <w:rsid w:val="00230011"/>
    <w:rsid w:val="00234D36"/>
    <w:rsid w:val="00255E31"/>
    <w:rsid w:val="00291996"/>
    <w:rsid w:val="00291BAD"/>
    <w:rsid w:val="0029728C"/>
    <w:rsid w:val="002C1A57"/>
    <w:rsid w:val="002E5DF3"/>
    <w:rsid w:val="002F3BFB"/>
    <w:rsid w:val="00307D6C"/>
    <w:rsid w:val="0031721A"/>
    <w:rsid w:val="00320E71"/>
    <w:rsid w:val="00330F2E"/>
    <w:rsid w:val="00331A46"/>
    <w:rsid w:val="00342443"/>
    <w:rsid w:val="00356422"/>
    <w:rsid w:val="00357914"/>
    <w:rsid w:val="00376621"/>
    <w:rsid w:val="0038372B"/>
    <w:rsid w:val="003A0689"/>
    <w:rsid w:val="003B7433"/>
    <w:rsid w:val="003C260A"/>
    <w:rsid w:val="003E717B"/>
    <w:rsid w:val="00415360"/>
    <w:rsid w:val="004349BE"/>
    <w:rsid w:val="00452F26"/>
    <w:rsid w:val="004545BB"/>
    <w:rsid w:val="004B3913"/>
    <w:rsid w:val="004C3288"/>
    <w:rsid w:val="004D2027"/>
    <w:rsid w:val="004E0FA5"/>
    <w:rsid w:val="0051515F"/>
    <w:rsid w:val="00563880"/>
    <w:rsid w:val="0056694B"/>
    <w:rsid w:val="005715CA"/>
    <w:rsid w:val="00577CDA"/>
    <w:rsid w:val="005A0EC8"/>
    <w:rsid w:val="005A5A94"/>
    <w:rsid w:val="005A6E9E"/>
    <w:rsid w:val="005B7666"/>
    <w:rsid w:val="005C2410"/>
    <w:rsid w:val="00606842"/>
    <w:rsid w:val="00607311"/>
    <w:rsid w:val="00615A27"/>
    <w:rsid w:val="006167D8"/>
    <w:rsid w:val="0062100B"/>
    <w:rsid w:val="006456C1"/>
    <w:rsid w:val="0066729E"/>
    <w:rsid w:val="00686BBB"/>
    <w:rsid w:val="006A0D67"/>
    <w:rsid w:val="006A479B"/>
    <w:rsid w:val="006E1D11"/>
    <w:rsid w:val="006E2173"/>
    <w:rsid w:val="00713CF9"/>
    <w:rsid w:val="00744FA5"/>
    <w:rsid w:val="00765A46"/>
    <w:rsid w:val="00771B0C"/>
    <w:rsid w:val="00797010"/>
    <w:rsid w:val="007B31D5"/>
    <w:rsid w:val="007C18B4"/>
    <w:rsid w:val="007F32A4"/>
    <w:rsid w:val="00801025"/>
    <w:rsid w:val="00815331"/>
    <w:rsid w:val="008214AD"/>
    <w:rsid w:val="008258AA"/>
    <w:rsid w:val="00834B92"/>
    <w:rsid w:val="0084321F"/>
    <w:rsid w:val="0085320D"/>
    <w:rsid w:val="0089175B"/>
    <w:rsid w:val="008C552C"/>
    <w:rsid w:val="00910EB2"/>
    <w:rsid w:val="00955A21"/>
    <w:rsid w:val="00967BDD"/>
    <w:rsid w:val="00974A7F"/>
    <w:rsid w:val="00975682"/>
    <w:rsid w:val="009756DB"/>
    <w:rsid w:val="00981CFA"/>
    <w:rsid w:val="009838F5"/>
    <w:rsid w:val="00992AE5"/>
    <w:rsid w:val="00995555"/>
    <w:rsid w:val="009970D3"/>
    <w:rsid w:val="009A7C08"/>
    <w:rsid w:val="009B3853"/>
    <w:rsid w:val="009B72F1"/>
    <w:rsid w:val="009D02E6"/>
    <w:rsid w:val="00A2788A"/>
    <w:rsid w:val="00A313F9"/>
    <w:rsid w:val="00A34FAA"/>
    <w:rsid w:val="00A602AC"/>
    <w:rsid w:val="00AA12D2"/>
    <w:rsid w:val="00AB226B"/>
    <w:rsid w:val="00AC25FC"/>
    <w:rsid w:val="00AC36B2"/>
    <w:rsid w:val="00AD71B4"/>
    <w:rsid w:val="00AE3CCE"/>
    <w:rsid w:val="00B21BCF"/>
    <w:rsid w:val="00B37136"/>
    <w:rsid w:val="00B720A9"/>
    <w:rsid w:val="00B75FE2"/>
    <w:rsid w:val="00B952DD"/>
    <w:rsid w:val="00B9769E"/>
    <w:rsid w:val="00BC0376"/>
    <w:rsid w:val="00BD1636"/>
    <w:rsid w:val="00BD38DE"/>
    <w:rsid w:val="00BD5463"/>
    <w:rsid w:val="00BE3093"/>
    <w:rsid w:val="00BE7CAE"/>
    <w:rsid w:val="00BF013B"/>
    <w:rsid w:val="00C0484E"/>
    <w:rsid w:val="00C263D1"/>
    <w:rsid w:val="00C40E8F"/>
    <w:rsid w:val="00C577BA"/>
    <w:rsid w:val="00C962F9"/>
    <w:rsid w:val="00CA5954"/>
    <w:rsid w:val="00CB296A"/>
    <w:rsid w:val="00CD0A87"/>
    <w:rsid w:val="00CD23BC"/>
    <w:rsid w:val="00CD3662"/>
    <w:rsid w:val="00CE1481"/>
    <w:rsid w:val="00D26991"/>
    <w:rsid w:val="00D310AF"/>
    <w:rsid w:val="00D36ABF"/>
    <w:rsid w:val="00D44E96"/>
    <w:rsid w:val="00D4591B"/>
    <w:rsid w:val="00D462BA"/>
    <w:rsid w:val="00D70874"/>
    <w:rsid w:val="00D751B6"/>
    <w:rsid w:val="00D861A2"/>
    <w:rsid w:val="00D94EA6"/>
    <w:rsid w:val="00DE1E57"/>
    <w:rsid w:val="00DE5C8E"/>
    <w:rsid w:val="00DE7830"/>
    <w:rsid w:val="00E03097"/>
    <w:rsid w:val="00E14E30"/>
    <w:rsid w:val="00E1602B"/>
    <w:rsid w:val="00E17EAE"/>
    <w:rsid w:val="00E2447A"/>
    <w:rsid w:val="00E6143B"/>
    <w:rsid w:val="00E722AC"/>
    <w:rsid w:val="00E75058"/>
    <w:rsid w:val="00EB2DDF"/>
    <w:rsid w:val="00EE7743"/>
    <w:rsid w:val="00EF4DBC"/>
    <w:rsid w:val="00F16EA3"/>
    <w:rsid w:val="00F20B1D"/>
    <w:rsid w:val="00F424A5"/>
    <w:rsid w:val="00F502B1"/>
    <w:rsid w:val="00F550EC"/>
    <w:rsid w:val="00FA0BE2"/>
    <w:rsid w:val="00FA224F"/>
    <w:rsid w:val="00FB54D1"/>
    <w:rsid w:val="00FC7099"/>
    <w:rsid w:val="00FC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CC317B0E-CE61-4B72-8364-8AFFC81D0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438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LópezTenutta</dc:creator>
  <cp:keywords/>
  <dc:description/>
  <cp:lastModifiedBy>Eduardo Russo</cp:lastModifiedBy>
  <cp:revision>14</cp:revision>
  <cp:lastPrinted>2015-05-26T16:19:00Z</cp:lastPrinted>
  <dcterms:created xsi:type="dcterms:W3CDTF">2016-06-22T14:56:00Z</dcterms:created>
  <dcterms:modified xsi:type="dcterms:W3CDTF">2016-08-23T15:45:00Z</dcterms:modified>
</cp:coreProperties>
</file>