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28C" w:rsidRPr="00BD38DE" w:rsidRDefault="0029728C" w:rsidP="0029728C">
      <w:pPr>
        <w:jc w:val="center"/>
        <w:rPr>
          <w:rFonts w:ascii="Verdana" w:hAnsi="Verdana"/>
          <w:sz w:val="36"/>
          <w:szCs w:val="36"/>
          <w:u w:val="single"/>
        </w:rPr>
      </w:pPr>
      <w:r w:rsidRPr="00BD38DE">
        <w:rPr>
          <w:rFonts w:ascii="Verdana" w:hAnsi="Verdana"/>
          <w:sz w:val="36"/>
          <w:szCs w:val="36"/>
          <w:u w:val="single"/>
        </w:rPr>
        <w:t xml:space="preserve">ACUERDO </w:t>
      </w:r>
      <w:r w:rsidR="00765A46" w:rsidRPr="00BD38DE">
        <w:rPr>
          <w:rFonts w:ascii="Verdana" w:hAnsi="Verdana"/>
          <w:sz w:val="36"/>
          <w:szCs w:val="36"/>
          <w:u w:val="single"/>
        </w:rPr>
        <w:t>3949</w:t>
      </w:r>
      <w:r w:rsidR="00BD38DE">
        <w:rPr>
          <w:rFonts w:ascii="Verdana" w:hAnsi="Verdana"/>
          <w:sz w:val="36"/>
          <w:szCs w:val="36"/>
          <w:u w:val="single"/>
        </w:rPr>
        <w:t xml:space="preserve"> </w:t>
      </w:r>
    </w:p>
    <w:p w:rsidR="00067251" w:rsidRDefault="00067251" w:rsidP="00067251">
      <w:pPr>
        <w:jc w:val="center"/>
        <w:rPr>
          <w:rFonts w:ascii="Verdana" w:hAnsi="Verdana"/>
          <w:sz w:val="36"/>
          <w:u w:val="single"/>
        </w:rPr>
      </w:pPr>
    </w:p>
    <w:p w:rsidR="00067251" w:rsidRPr="0049431A" w:rsidRDefault="00067251" w:rsidP="00067251">
      <w:pPr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  <w:bookmarkStart w:id="0" w:name="_GoBack"/>
      <w:bookmarkEnd w:id="0"/>
    </w:p>
    <w:p w:rsidR="00067251" w:rsidRPr="0049431A" w:rsidRDefault="00067251" w:rsidP="00067251">
      <w:pPr>
        <w:rPr>
          <w:rFonts w:ascii="Verdana" w:hAnsi="Verdana"/>
          <w:sz w:val="36"/>
        </w:rPr>
      </w:pPr>
    </w:p>
    <w:p w:rsidR="00067251" w:rsidRPr="0049431A" w:rsidRDefault="00067251" w:rsidP="00067251">
      <w:pPr>
        <w:rPr>
          <w:rFonts w:ascii="Verdana" w:hAnsi="Verdana"/>
          <w:sz w:val="28"/>
          <w:u w:val="single"/>
        </w:rPr>
      </w:pPr>
    </w:p>
    <w:p w:rsidR="00067251" w:rsidRPr="0049431A" w:rsidRDefault="00067251" w:rsidP="00067251">
      <w:pPr>
        <w:rPr>
          <w:rFonts w:ascii="Verdana" w:hAnsi="Verdana"/>
          <w:sz w:val="28"/>
          <w:u w:val="single"/>
        </w:rPr>
      </w:pPr>
    </w:p>
    <w:p w:rsidR="00067251" w:rsidRPr="0049431A" w:rsidRDefault="00067251" w:rsidP="00067251">
      <w:pPr>
        <w:rPr>
          <w:rFonts w:ascii="Verdana" w:hAnsi="Verdana"/>
        </w:rPr>
      </w:pPr>
      <w:r>
        <w:rPr>
          <w:rFonts w:ascii="Verdana" w:hAnsi="Verdana"/>
          <w:sz w:val="28"/>
        </w:rPr>
        <w:t>ADMINISTRACION CENTRAL</w:t>
      </w:r>
      <w:r w:rsidRPr="0049431A">
        <w:rPr>
          <w:rFonts w:ascii="Verdana" w:hAnsi="Verdana"/>
          <w:sz w:val="28"/>
        </w:rPr>
        <w:t xml:space="preserve">: </w:t>
      </w:r>
      <w:r w:rsidR="00331A46">
        <w:rPr>
          <w:rFonts w:ascii="Verdana" w:hAnsi="Verdana"/>
          <w:sz w:val="28"/>
        </w:rPr>
        <w:t>1</w:t>
      </w:r>
      <w:r w:rsidRPr="0049431A">
        <w:rPr>
          <w:rFonts w:ascii="Verdana" w:hAnsi="Verdana"/>
          <w:b/>
          <w:sz w:val="28"/>
        </w:rPr>
        <w:t>°</w:t>
      </w:r>
      <w:r w:rsidRPr="0049431A">
        <w:rPr>
          <w:rFonts w:ascii="Verdana" w:hAnsi="Verdana"/>
          <w:b/>
        </w:rPr>
        <w:t xml:space="preserve"> TRIMESTRE 201</w:t>
      </w:r>
      <w:r w:rsidR="005B7666">
        <w:rPr>
          <w:rFonts w:ascii="Verdana" w:hAnsi="Verdana"/>
          <w:b/>
        </w:rPr>
        <w:t>6</w:t>
      </w:r>
    </w:p>
    <w:p w:rsidR="00067251" w:rsidRPr="00F42680" w:rsidRDefault="00067251" w:rsidP="00067251">
      <w:pPr>
        <w:rPr>
          <w:rFonts w:ascii="Verdana" w:hAnsi="Verdana"/>
        </w:rPr>
      </w:pPr>
    </w:p>
    <w:p w:rsidR="00067251" w:rsidRPr="0049431A" w:rsidRDefault="00067251" w:rsidP="00067251">
      <w:pPr>
        <w:rPr>
          <w:rFonts w:ascii="Verdana" w:hAnsi="Verdana"/>
        </w:rPr>
      </w:pPr>
    </w:p>
    <w:p w:rsidR="0029728C" w:rsidRDefault="0029728C" w:rsidP="0029728C">
      <w:pPr>
        <w:rPr>
          <w:rFonts w:ascii="Verdana" w:hAnsi="Verdana"/>
          <w:b/>
        </w:rPr>
      </w:pPr>
    </w:p>
    <w:p w:rsidR="0029728C" w:rsidRPr="00067251" w:rsidRDefault="0029728C" w:rsidP="0029728C">
      <w:pPr>
        <w:rPr>
          <w:rFonts w:ascii="Verdana" w:hAnsi="Verdana"/>
        </w:rPr>
      </w:pPr>
      <w:r w:rsidRPr="00067251">
        <w:rPr>
          <w:rFonts w:ascii="Verdana" w:hAnsi="Verdana"/>
        </w:rPr>
        <w:t>ARTICULO 27 INC. C:</w:t>
      </w:r>
    </w:p>
    <w:p w:rsidR="0029728C" w:rsidRDefault="0029728C" w:rsidP="0029728C">
      <w:pPr>
        <w:spacing w:line="360" w:lineRule="auto"/>
        <w:jc w:val="both"/>
        <w:rPr>
          <w:rFonts w:ascii="Verdana" w:hAnsi="Verdana"/>
          <w:b/>
          <w:u w:val="single"/>
        </w:rPr>
      </w:pPr>
    </w:p>
    <w:p w:rsidR="0029728C" w:rsidRDefault="0029728C" w:rsidP="0029728C">
      <w:pPr>
        <w:spacing w:line="360" w:lineRule="auto"/>
        <w:jc w:val="both"/>
        <w:rPr>
          <w:rFonts w:ascii="Verdana" w:hAnsi="Verdana"/>
          <w:b/>
          <w:u w:val="single"/>
        </w:rPr>
      </w:pPr>
      <w:r w:rsidRPr="00613183">
        <w:rPr>
          <w:rFonts w:ascii="Verdana" w:hAnsi="Verdana"/>
          <w:b/>
          <w:u w:val="single"/>
        </w:rPr>
        <w:t xml:space="preserve">CAUSAS DE INCUMPLIMIENTOS DE LAS METAS </w:t>
      </w:r>
    </w:p>
    <w:p w:rsidR="006A0D67" w:rsidRDefault="006A0D67" w:rsidP="0029728C">
      <w:pPr>
        <w:spacing w:line="360" w:lineRule="auto"/>
        <w:jc w:val="both"/>
        <w:rPr>
          <w:rFonts w:ascii="Verdana" w:hAnsi="Verdana"/>
          <w:b/>
          <w:u w:val="single"/>
        </w:rPr>
      </w:pPr>
    </w:p>
    <w:p w:rsidR="00B75FE2" w:rsidRPr="00B75FE2" w:rsidRDefault="00B75FE2" w:rsidP="00B75FE2">
      <w:pPr>
        <w:numPr>
          <w:ilvl w:val="0"/>
          <w:numId w:val="1"/>
        </w:numPr>
        <w:spacing w:after="200" w:line="360" w:lineRule="auto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B75FE2">
        <w:rPr>
          <w:rFonts w:ascii="Verdana" w:eastAsia="Calibri" w:hAnsi="Verdana"/>
          <w:sz w:val="22"/>
          <w:szCs w:val="22"/>
          <w:lang w:eastAsia="en-US"/>
        </w:rPr>
        <w:t>Los Recursos Corrientes y de Capital se ejecutaron en un importe menor al programado</w:t>
      </w:r>
      <w:r w:rsidR="00CA5954">
        <w:rPr>
          <w:rFonts w:ascii="Verdana" w:eastAsia="Calibri" w:hAnsi="Verdana"/>
          <w:sz w:val="22"/>
          <w:szCs w:val="22"/>
          <w:lang w:eastAsia="en-US"/>
        </w:rPr>
        <w:t xml:space="preserve">, en forma global, </w:t>
      </w:r>
      <w:r w:rsidR="00910EB2">
        <w:rPr>
          <w:rFonts w:ascii="Verdana" w:eastAsia="Calibri" w:hAnsi="Verdana"/>
          <w:sz w:val="22"/>
          <w:szCs w:val="22"/>
          <w:lang w:eastAsia="en-US"/>
        </w:rPr>
        <w:t>un</w:t>
      </w:r>
      <w:r w:rsidR="00CA5954">
        <w:rPr>
          <w:rFonts w:ascii="Verdana" w:eastAsia="Calibri" w:hAnsi="Verdana"/>
          <w:sz w:val="22"/>
          <w:szCs w:val="22"/>
          <w:lang w:eastAsia="en-US"/>
        </w:rPr>
        <w:t xml:space="preserve"> 1</w:t>
      </w:r>
      <w:r w:rsidR="00910EB2">
        <w:rPr>
          <w:rFonts w:ascii="Verdana" w:eastAsia="Calibri" w:hAnsi="Verdana"/>
          <w:sz w:val="22"/>
          <w:szCs w:val="22"/>
          <w:lang w:eastAsia="en-US"/>
        </w:rPr>
        <w:t>6</w:t>
      </w:r>
      <w:r w:rsidR="00CA5954">
        <w:rPr>
          <w:rFonts w:ascii="Verdana" w:eastAsia="Calibri" w:hAnsi="Verdana"/>
          <w:sz w:val="22"/>
          <w:szCs w:val="22"/>
          <w:lang w:eastAsia="en-US"/>
        </w:rPr>
        <w:t xml:space="preserve">% </w:t>
      </w:r>
      <w:r w:rsidR="00910EB2">
        <w:rPr>
          <w:rFonts w:ascii="Verdana" w:eastAsia="Calibri" w:hAnsi="Verdana"/>
          <w:sz w:val="22"/>
          <w:szCs w:val="22"/>
          <w:lang w:eastAsia="en-US"/>
        </w:rPr>
        <w:t xml:space="preserve">menos </w:t>
      </w:r>
      <w:r w:rsidR="00CA5954">
        <w:rPr>
          <w:rFonts w:ascii="Verdana" w:eastAsia="Calibri" w:hAnsi="Verdana"/>
          <w:sz w:val="22"/>
          <w:szCs w:val="22"/>
          <w:lang w:eastAsia="en-US"/>
        </w:rPr>
        <w:t>de lo esperado</w:t>
      </w:r>
      <w:r w:rsidRPr="00B75FE2">
        <w:rPr>
          <w:rFonts w:ascii="Verdana" w:eastAsia="Calibri" w:hAnsi="Verdana"/>
          <w:sz w:val="22"/>
          <w:szCs w:val="22"/>
          <w:lang w:eastAsia="en-US"/>
        </w:rPr>
        <w:t xml:space="preserve">. </w:t>
      </w:r>
    </w:p>
    <w:p w:rsidR="00B75FE2" w:rsidRPr="00B75FE2" w:rsidRDefault="00B75FE2" w:rsidP="00B75FE2">
      <w:pPr>
        <w:spacing w:line="360" w:lineRule="auto"/>
        <w:ind w:left="360"/>
        <w:jc w:val="both"/>
        <w:rPr>
          <w:rFonts w:ascii="Verdana" w:eastAsia="Calibri" w:hAnsi="Verdana"/>
          <w:sz w:val="22"/>
          <w:szCs w:val="22"/>
          <w:lang w:eastAsia="en-US"/>
        </w:rPr>
      </w:pPr>
    </w:p>
    <w:p w:rsidR="00B75FE2" w:rsidRPr="00B75FE2" w:rsidRDefault="00B75FE2" w:rsidP="00BA75AA">
      <w:pPr>
        <w:numPr>
          <w:ilvl w:val="0"/>
          <w:numId w:val="1"/>
        </w:numPr>
        <w:spacing w:after="200" w:line="276" w:lineRule="auto"/>
        <w:ind w:left="708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B75FE2">
        <w:rPr>
          <w:rFonts w:ascii="Verdana" w:eastAsia="Calibri" w:hAnsi="Verdana"/>
          <w:sz w:val="22"/>
          <w:szCs w:val="22"/>
          <w:lang w:eastAsia="en-US"/>
        </w:rPr>
        <w:t>La recaudación de los Recursos Corrientes, no ha igualado las expectativas de las pautas presupuestarias</w:t>
      </w:r>
      <w:r w:rsidR="000D1B37">
        <w:rPr>
          <w:rFonts w:ascii="Verdana" w:eastAsia="Calibri" w:hAnsi="Verdana"/>
          <w:sz w:val="22"/>
          <w:szCs w:val="22"/>
          <w:lang w:eastAsia="en-US"/>
        </w:rPr>
        <w:t xml:space="preserve"> y la programación financiera del trimestre</w:t>
      </w:r>
      <w:r w:rsidR="0051515F" w:rsidRPr="0051515F">
        <w:rPr>
          <w:rFonts w:ascii="Verdana" w:eastAsia="Calibri" w:hAnsi="Verdana"/>
          <w:sz w:val="22"/>
          <w:szCs w:val="22"/>
          <w:lang w:eastAsia="en-US"/>
        </w:rPr>
        <w:t>.</w:t>
      </w:r>
      <w:r w:rsidR="000D1B37">
        <w:rPr>
          <w:rFonts w:ascii="Verdana" w:eastAsia="Calibri" w:hAnsi="Verdana"/>
          <w:sz w:val="22"/>
          <w:szCs w:val="22"/>
          <w:lang w:eastAsia="en-US"/>
        </w:rPr>
        <w:t xml:space="preserve"> Si bien los Recursos Corrientes de Origen Provincial superaron levemente lo programado, los de Origen Nacional estuvieron levemente por encima de lo programado en lo referente a la Coparticipación Federal de Impuestos y Regímenes Especiales, no ocurrió lo mismo con los Aportes No Reintegrables estimados, dado que ingresaron solo el 23% de lo programado, produciendo un déficit total de Recursos Corrientes del 1</w:t>
      </w:r>
      <w:r w:rsidR="00910EB2">
        <w:rPr>
          <w:rFonts w:ascii="Verdana" w:eastAsia="Calibri" w:hAnsi="Verdana"/>
          <w:sz w:val="22"/>
          <w:szCs w:val="22"/>
          <w:lang w:eastAsia="en-US"/>
        </w:rPr>
        <w:t>6</w:t>
      </w:r>
      <w:r w:rsidR="000D1B37">
        <w:rPr>
          <w:rFonts w:ascii="Verdana" w:eastAsia="Calibri" w:hAnsi="Verdana"/>
          <w:sz w:val="22"/>
          <w:szCs w:val="22"/>
          <w:lang w:eastAsia="en-US"/>
        </w:rPr>
        <w:t xml:space="preserve">% de lo esperado, </w:t>
      </w:r>
      <w:r w:rsidR="000D1B37" w:rsidRPr="00B75FE2">
        <w:rPr>
          <w:rFonts w:ascii="Verdana" w:eastAsia="Calibri" w:hAnsi="Verdana"/>
          <w:sz w:val="22"/>
          <w:szCs w:val="22"/>
          <w:lang w:eastAsia="en-US"/>
        </w:rPr>
        <w:t xml:space="preserve">todo ello dado </w:t>
      </w:r>
      <w:r w:rsidR="000D1B37" w:rsidRPr="0051515F">
        <w:rPr>
          <w:rFonts w:ascii="Verdana" w:eastAsia="Calibri" w:hAnsi="Verdana"/>
          <w:sz w:val="22"/>
          <w:szCs w:val="22"/>
          <w:lang w:eastAsia="en-US"/>
        </w:rPr>
        <w:t>la baja en la actividad económica provincial y nacional</w:t>
      </w:r>
      <w:r w:rsidR="000D1B37">
        <w:rPr>
          <w:rFonts w:ascii="Verdana" w:eastAsia="Calibri" w:hAnsi="Verdana"/>
          <w:sz w:val="22"/>
          <w:szCs w:val="22"/>
          <w:lang w:eastAsia="en-US"/>
        </w:rPr>
        <w:t>.</w:t>
      </w:r>
    </w:p>
    <w:p w:rsidR="00B75FE2" w:rsidRPr="00B75FE2" w:rsidRDefault="00B75FE2" w:rsidP="00B75FE2">
      <w:pPr>
        <w:spacing w:line="360" w:lineRule="auto"/>
        <w:ind w:left="720"/>
        <w:jc w:val="both"/>
        <w:rPr>
          <w:rFonts w:ascii="Verdana" w:eastAsia="Calibri" w:hAnsi="Verdana"/>
          <w:sz w:val="22"/>
          <w:szCs w:val="22"/>
          <w:lang w:eastAsia="en-US"/>
        </w:rPr>
      </w:pPr>
    </w:p>
    <w:p w:rsidR="00B75FE2" w:rsidRPr="00B75FE2" w:rsidRDefault="00B75FE2" w:rsidP="00B75FE2">
      <w:pPr>
        <w:numPr>
          <w:ilvl w:val="0"/>
          <w:numId w:val="1"/>
        </w:numPr>
        <w:spacing w:after="200" w:line="360" w:lineRule="auto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B75FE2">
        <w:rPr>
          <w:rFonts w:ascii="Verdana" w:eastAsia="Calibri" w:hAnsi="Verdana" w:cs="Arial"/>
          <w:color w:val="000000"/>
          <w:sz w:val="22"/>
          <w:szCs w:val="22"/>
          <w:lang w:eastAsia="en-US"/>
        </w:rPr>
        <w:t>En cuanto a los Recursos de Capital el mismo se ha ejecutado en m</w:t>
      </w:r>
      <w:r w:rsidR="00910EB2">
        <w:rPr>
          <w:rFonts w:ascii="Verdana" w:eastAsia="Calibri" w:hAnsi="Verdana" w:cs="Arial"/>
          <w:color w:val="000000"/>
          <w:sz w:val="22"/>
          <w:szCs w:val="22"/>
          <w:lang w:eastAsia="en-US"/>
        </w:rPr>
        <w:t>enor</w:t>
      </w:r>
      <w:r w:rsidRPr="00B75FE2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 medid</w:t>
      </w:r>
      <w:r w:rsidR="00CA5954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a a lo programado originalmente, </w:t>
      </w:r>
      <w:r w:rsidR="00910EB2">
        <w:rPr>
          <w:rFonts w:ascii="Verdana" w:eastAsia="Calibri" w:hAnsi="Verdana" w:cs="Arial"/>
          <w:color w:val="000000"/>
          <w:sz w:val="22"/>
          <w:szCs w:val="22"/>
          <w:lang w:eastAsia="en-US"/>
        </w:rPr>
        <w:t>siendo</w:t>
      </w:r>
      <w:r w:rsidR="00CA5954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 lo ingresado</w:t>
      </w:r>
      <w:r w:rsidR="00910EB2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 un 34% menor</w:t>
      </w:r>
      <w:r w:rsidR="00CA5954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 respecto a lo programado, </w:t>
      </w:r>
      <w:r w:rsidR="00910EB2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a pesar que </w:t>
      </w:r>
      <w:r w:rsidR="00CA5954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los Recursos provenientes del Fondo Federal Solidario </w:t>
      </w:r>
      <w:r w:rsidR="00910EB2">
        <w:rPr>
          <w:rFonts w:ascii="Verdana" w:eastAsia="Calibri" w:hAnsi="Verdana" w:cs="Arial"/>
          <w:color w:val="000000"/>
          <w:sz w:val="22"/>
          <w:szCs w:val="22"/>
          <w:lang w:eastAsia="en-US"/>
        </w:rPr>
        <w:t>superaron</w:t>
      </w:r>
      <w:r w:rsidR="00CA5954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 lo esperado.</w:t>
      </w:r>
    </w:p>
    <w:p w:rsidR="00B75FE2" w:rsidRPr="00B75FE2" w:rsidRDefault="00B75FE2" w:rsidP="00B75FE2">
      <w:pPr>
        <w:spacing w:line="360" w:lineRule="auto"/>
        <w:ind w:left="360"/>
        <w:jc w:val="both"/>
        <w:rPr>
          <w:rFonts w:ascii="Verdana" w:eastAsia="Calibri" w:hAnsi="Verdana"/>
          <w:sz w:val="22"/>
          <w:szCs w:val="22"/>
          <w:lang w:eastAsia="en-US"/>
        </w:rPr>
      </w:pPr>
    </w:p>
    <w:p w:rsidR="00B75FE2" w:rsidRPr="00CD3662" w:rsidRDefault="00B75FE2" w:rsidP="00C60D42">
      <w:pPr>
        <w:numPr>
          <w:ilvl w:val="0"/>
          <w:numId w:val="1"/>
        </w:numPr>
        <w:spacing w:after="200" w:line="360" w:lineRule="auto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CD3662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Los Gastos Corrientes  y de Capital se ejecutaron en menor medida a lo programado, debido a la aplicación de los Decreto Acuerdo  del presente año Nro. </w:t>
      </w:r>
      <w:r w:rsidR="0051515F" w:rsidRPr="00CD3662">
        <w:rPr>
          <w:rFonts w:ascii="Verdana" w:eastAsia="Calibri" w:hAnsi="Verdana"/>
          <w:color w:val="000000"/>
          <w:sz w:val="22"/>
          <w:szCs w:val="22"/>
          <w:lang w:eastAsia="en-US"/>
        </w:rPr>
        <w:t>65</w:t>
      </w:r>
      <w:r w:rsidRPr="00CD3662">
        <w:rPr>
          <w:rFonts w:ascii="Verdana" w:eastAsia="Calibri" w:hAnsi="Verdana"/>
          <w:color w:val="000000"/>
          <w:sz w:val="22"/>
          <w:szCs w:val="22"/>
          <w:lang w:eastAsia="en-US"/>
        </w:rPr>
        <w:t>, (el que prohíbe</w:t>
      </w:r>
      <w:r w:rsidR="0051515F" w:rsidRPr="00CD3662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 todo incremento de la partida de Personal por Designación, Ajuste de la situación de revista, Suplemento por </w:t>
      </w:r>
      <w:proofErr w:type="spellStart"/>
      <w:r w:rsidR="0051515F" w:rsidRPr="00CD3662">
        <w:rPr>
          <w:rFonts w:ascii="Verdana" w:eastAsia="Calibri" w:hAnsi="Verdana"/>
          <w:color w:val="000000"/>
          <w:sz w:val="22"/>
          <w:szCs w:val="22"/>
          <w:lang w:eastAsia="en-US"/>
        </w:rPr>
        <w:t>subrogancia</w:t>
      </w:r>
      <w:proofErr w:type="spellEnd"/>
      <w:r w:rsidR="0051515F" w:rsidRPr="00CD3662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 </w:t>
      </w:r>
      <w:r w:rsidR="0051515F" w:rsidRPr="00CD3662">
        <w:rPr>
          <w:rFonts w:ascii="Verdana" w:eastAsia="Calibri" w:hAnsi="Verdana"/>
          <w:color w:val="000000"/>
          <w:sz w:val="22"/>
          <w:szCs w:val="22"/>
          <w:lang w:eastAsia="en-US"/>
        </w:rPr>
        <w:lastRenderedPageBreak/>
        <w:t>y Contrataciones por el sistema de locaciones de servicio, de obra u honorarios determinados en horas módulo deportivo, la suspensión de la firma de nuevos Convenios, toda adquisición de bienes de capital que no cuente con autorización expresa del Sr. Gobernador)</w:t>
      </w:r>
      <w:r w:rsidRPr="00CD3662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, con lo  que se busca lograr en el mediano plazo una razonable correspondencia entre los Recursos </w:t>
      </w:r>
      <w:r w:rsidR="0051515F" w:rsidRPr="00CD3662">
        <w:rPr>
          <w:rFonts w:ascii="Verdana" w:eastAsia="Calibri" w:hAnsi="Verdana"/>
          <w:color w:val="000000"/>
          <w:sz w:val="22"/>
          <w:szCs w:val="22"/>
          <w:lang w:eastAsia="en-US"/>
        </w:rPr>
        <w:t>ingresados</w:t>
      </w:r>
      <w:r w:rsidR="00CD3662" w:rsidRPr="00CD3662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, </w:t>
      </w:r>
      <w:r w:rsidRPr="00CD3662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y </w:t>
      </w:r>
      <w:r w:rsidR="0051515F" w:rsidRPr="00CD3662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los </w:t>
      </w:r>
      <w:r w:rsidRPr="00CD3662">
        <w:rPr>
          <w:rFonts w:ascii="Verdana" w:eastAsia="Calibri" w:hAnsi="Verdana"/>
          <w:color w:val="000000"/>
          <w:sz w:val="22"/>
          <w:szCs w:val="22"/>
          <w:lang w:eastAsia="en-US"/>
        </w:rPr>
        <w:t>Gastos</w:t>
      </w:r>
      <w:r w:rsidR="0051515F" w:rsidRPr="00CD3662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 devengados por </w:t>
      </w:r>
      <w:r w:rsidRPr="00CD3662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el Estado Provincial. </w:t>
      </w:r>
    </w:p>
    <w:p w:rsidR="00B75FE2" w:rsidRPr="00B75FE2" w:rsidRDefault="00B75FE2" w:rsidP="00B75FE2">
      <w:pPr>
        <w:spacing w:line="360" w:lineRule="auto"/>
        <w:ind w:left="360"/>
        <w:jc w:val="both"/>
        <w:rPr>
          <w:rFonts w:ascii="Verdana" w:eastAsia="Calibri" w:hAnsi="Verdana"/>
          <w:color w:val="000000"/>
          <w:sz w:val="22"/>
          <w:szCs w:val="22"/>
          <w:lang w:eastAsia="en-US"/>
        </w:rPr>
      </w:pPr>
    </w:p>
    <w:p w:rsidR="00B75FE2" w:rsidRDefault="00B75FE2" w:rsidP="00B75FE2">
      <w:pPr>
        <w:numPr>
          <w:ilvl w:val="0"/>
          <w:numId w:val="1"/>
        </w:numPr>
        <w:spacing w:after="200" w:line="360" w:lineRule="auto"/>
        <w:jc w:val="both"/>
        <w:rPr>
          <w:rFonts w:ascii="Verdana" w:eastAsia="Calibri" w:hAnsi="Verdana"/>
          <w:color w:val="000000"/>
          <w:sz w:val="22"/>
          <w:szCs w:val="22"/>
          <w:lang w:eastAsia="en-US"/>
        </w:rPr>
      </w:pPr>
      <w:r w:rsidRPr="00B75FE2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En las Aplicaciones Financieras se observa una ejecución mayor a lo programado debida al </w:t>
      </w:r>
      <w:proofErr w:type="spellStart"/>
      <w:r w:rsidRPr="00B75FE2">
        <w:rPr>
          <w:rFonts w:ascii="Verdana" w:eastAsia="Calibri" w:hAnsi="Verdana"/>
          <w:color w:val="000000"/>
          <w:sz w:val="22"/>
          <w:szCs w:val="22"/>
          <w:lang w:eastAsia="en-US"/>
        </w:rPr>
        <w:t>devengamiento</w:t>
      </w:r>
      <w:proofErr w:type="spellEnd"/>
      <w:r w:rsidRPr="00B75FE2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 de las partidas Amortización Deuda Residuos Pasivos (74101) y Amortización Deuda Acreedores Varios (74102).</w:t>
      </w:r>
    </w:p>
    <w:p w:rsidR="00910EB2" w:rsidRDefault="00910EB2" w:rsidP="00910EB2">
      <w:pPr>
        <w:pStyle w:val="Prrafodelista"/>
        <w:rPr>
          <w:rFonts w:ascii="Verdana" w:eastAsia="Calibri" w:hAnsi="Verdana"/>
          <w:color w:val="000000"/>
          <w:sz w:val="22"/>
          <w:szCs w:val="22"/>
          <w:lang w:eastAsia="en-US"/>
        </w:rPr>
      </w:pPr>
    </w:p>
    <w:p w:rsidR="00B75FE2" w:rsidRPr="00B75FE2" w:rsidRDefault="00B75FE2" w:rsidP="00B75FE2">
      <w:pPr>
        <w:spacing w:after="200" w:line="360" w:lineRule="auto"/>
        <w:jc w:val="both"/>
        <w:rPr>
          <w:rFonts w:ascii="Verdana" w:eastAsia="Calibri" w:hAnsi="Verdana"/>
          <w:sz w:val="22"/>
          <w:szCs w:val="22"/>
          <w:lang w:eastAsia="en-US"/>
        </w:rPr>
      </w:pPr>
    </w:p>
    <w:p w:rsidR="00B75FE2" w:rsidRPr="00B75FE2" w:rsidRDefault="00B75FE2" w:rsidP="00B75FE2">
      <w:pPr>
        <w:spacing w:after="200" w:line="360" w:lineRule="auto"/>
        <w:jc w:val="both"/>
        <w:rPr>
          <w:rFonts w:ascii="Verdana" w:eastAsia="Calibri" w:hAnsi="Verdana"/>
          <w:sz w:val="22"/>
          <w:szCs w:val="22"/>
          <w:lang w:eastAsia="en-US"/>
        </w:rPr>
      </w:pPr>
    </w:p>
    <w:p w:rsidR="00B75FE2" w:rsidRPr="00B75FE2" w:rsidRDefault="00B75FE2" w:rsidP="00B75FE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B75FE2" w:rsidRPr="00D83C62" w:rsidRDefault="00B75FE2" w:rsidP="0029728C">
      <w:pPr>
        <w:spacing w:line="360" w:lineRule="auto"/>
        <w:ind w:left="720"/>
        <w:jc w:val="both"/>
        <w:rPr>
          <w:rFonts w:ascii="Verdana" w:hAnsi="Verdana"/>
        </w:rPr>
      </w:pPr>
    </w:p>
    <w:p w:rsidR="0029728C" w:rsidRPr="00D83C62" w:rsidRDefault="0029728C" w:rsidP="0029728C">
      <w:pPr>
        <w:spacing w:line="360" w:lineRule="auto"/>
        <w:jc w:val="both"/>
        <w:rPr>
          <w:rFonts w:ascii="Verdana" w:hAnsi="Verdana"/>
        </w:rPr>
      </w:pPr>
    </w:p>
    <w:p w:rsidR="0029728C" w:rsidRPr="00D83C62" w:rsidRDefault="0029728C" w:rsidP="0029728C">
      <w:pPr>
        <w:spacing w:line="360" w:lineRule="auto"/>
        <w:jc w:val="both"/>
        <w:rPr>
          <w:rFonts w:ascii="Verdana" w:hAnsi="Verdana"/>
        </w:rPr>
      </w:pPr>
    </w:p>
    <w:p w:rsidR="0029728C" w:rsidRPr="00D83C62" w:rsidRDefault="0029728C" w:rsidP="0029728C">
      <w:pPr>
        <w:spacing w:line="360" w:lineRule="auto"/>
        <w:ind w:left="360"/>
        <w:jc w:val="both"/>
        <w:rPr>
          <w:rFonts w:ascii="Verdana" w:hAnsi="Verdana"/>
          <w:color w:val="000000"/>
        </w:rPr>
      </w:pPr>
    </w:p>
    <w:p w:rsidR="0029728C" w:rsidRPr="00613183" w:rsidRDefault="0029728C" w:rsidP="0029728C">
      <w:pPr>
        <w:spacing w:line="360" w:lineRule="auto"/>
        <w:jc w:val="both"/>
        <w:rPr>
          <w:rFonts w:ascii="Verdana" w:hAnsi="Verdana"/>
        </w:rPr>
      </w:pPr>
    </w:p>
    <w:p w:rsidR="008214AD" w:rsidRPr="0029728C" w:rsidRDefault="008214AD" w:rsidP="0029728C"/>
    <w:sectPr w:rsidR="008214AD" w:rsidRPr="0029728C" w:rsidSect="00771B0C">
      <w:headerReference w:type="default" r:id="rId7"/>
      <w:pgSz w:w="11906" w:h="16838"/>
      <w:pgMar w:top="1662" w:right="1701" w:bottom="1417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DF3" w:rsidRDefault="002E5DF3">
      <w:r>
        <w:separator/>
      </w:r>
    </w:p>
  </w:endnote>
  <w:endnote w:type="continuationSeparator" w:id="0">
    <w:p w:rsidR="002E5DF3" w:rsidRDefault="002E5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DF3" w:rsidRDefault="002E5DF3">
      <w:r>
        <w:separator/>
      </w:r>
    </w:p>
  </w:footnote>
  <w:footnote w:type="continuationSeparator" w:id="0">
    <w:p w:rsidR="002E5DF3" w:rsidRDefault="002E5D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B0C" w:rsidRDefault="005B7666">
    <w:pPr>
      <w:pStyle w:val="Encabezado"/>
    </w:pPr>
    <w:r>
      <w:rPr>
        <w:noProof/>
        <w:lang w:eastAsia="es-AR"/>
      </w:rPr>
      <w:drawing>
        <wp:inline distT="0" distB="0" distL="0" distR="0" wp14:anchorId="0EDE7E04" wp14:editId="0895291D">
          <wp:extent cx="5400040" cy="77089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mbrete Hacienda completo- Argentina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BB5B22"/>
    <w:multiLevelType w:val="hybridMultilevel"/>
    <w:tmpl w:val="01464DC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D11"/>
    <w:rsid w:val="000221CA"/>
    <w:rsid w:val="000365DE"/>
    <w:rsid w:val="00056330"/>
    <w:rsid w:val="00057CC4"/>
    <w:rsid w:val="00067251"/>
    <w:rsid w:val="00071AFA"/>
    <w:rsid w:val="000C6622"/>
    <w:rsid w:val="000D109C"/>
    <w:rsid w:val="000D1B37"/>
    <w:rsid w:val="000F38ED"/>
    <w:rsid w:val="00121BF9"/>
    <w:rsid w:val="00132DB6"/>
    <w:rsid w:val="00147CF5"/>
    <w:rsid w:val="00151948"/>
    <w:rsid w:val="001A03A8"/>
    <w:rsid w:val="001E44AA"/>
    <w:rsid w:val="001F2471"/>
    <w:rsid w:val="0020149D"/>
    <w:rsid w:val="00202C21"/>
    <w:rsid w:val="00221E72"/>
    <w:rsid w:val="00230011"/>
    <w:rsid w:val="00234D36"/>
    <w:rsid w:val="00255E31"/>
    <w:rsid w:val="00291996"/>
    <w:rsid w:val="00291BAD"/>
    <w:rsid w:val="0029728C"/>
    <w:rsid w:val="002C1A57"/>
    <w:rsid w:val="002E5DF3"/>
    <w:rsid w:val="002F3BFB"/>
    <w:rsid w:val="00307D6C"/>
    <w:rsid w:val="0031721A"/>
    <w:rsid w:val="00320E71"/>
    <w:rsid w:val="00330F2E"/>
    <w:rsid w:val="00331A46"/>
    <w:rsid w:val="00342443"/>
    <w:rsid w:val="00356422"/>
    <w:rsid w:val="00357914"/>
    <w:rsid w:val="00376621"/>
    <w:rsid w:val="0038372B"/>
    <w:rsid w:val="003A0689"/>
    <w:rsid w:val="003B7433"/>
    <w:rsid w:val="003C260A"/>
    <w:rsid w:val="003E717B"/>
    <w:rsid w:val="00415360"/>
    <w:rsid w:val="004349BE"/>
    <w:rsid w:val="00452F26"/>
    <w:rsid w:val="004545BB"/>
    <w:rsid w:val="004B3913"/>
    <w:rsid w:val="004C3288"/>
    <w:rsid w:val="004D2027"/>
    <w:rsid w:val="004E0FA5"/>
    <w:rsid w:val="0051515F"/>
    <w:rsid w:val="0056694B"/>
    <w:rsid w:val="005715CA"/>
    <w:rsid w:val="00577CDA"/>
    <w:rsid w:val="005A0EC8"/>
    <w:rsid w:val="005A5A94"/>
    <w:rsid w:val="005A6E9E"/>
    <w:rsid w:val="005B7666"/>
    <w:rsid w:val="005C2410"/>
    <w:rsid w:val="00606842"/>
    <w:rsid w:val="00607311"/>
    <w:rsid w:val="00615A27"/>
    <w:rsid w:val="006167D8"/>
    <w:rsid w:val="0062100B"/>
    <w:rsid w:val="006456C1"/>
    <w:rsid w:val="0066729E"/>
    <w:rsid w:val="00686BBB"/>
    <w:rsid w:val="006A0D67"/>
    <w:rsid w:val="006A479B"/>
    <w:rsid w:val="006E1D11"/>
    <w:rsid w:val="006E2173"/>
    <w:rsid w:val="00713CF9"/>
    <w:rsid w:val="00744FA5"/>
    <w:rsid w:val="00765A46"/>
    <w:rsid w:val="00771B0C"/>
    <w:rsid w:val="00797010"/>
    <w:rsid w:val="007B31D5"/>
    <w:rsid w:val="007C18B4"/>
    <w:rsid w:val="007F32A4"/>
    <w:rsid w:val="00801025"/>
    <w:rsid w:val="00815331"/>
    <w:rsid w:val="008214AD"/>
    <w:rsid w:val="008258AA"/>
    <w:rsid w:val="00834B92"/>
    <w:rsid w:val="0084321F"/>
    <w:rsid w:val="0085320D"/>
    <w:rsid w:val="0089175B"/>
    <w:rsid w:val="008C552C"/>
    <w:rsid w:val="00910EB2"/>
    <w:rsid w:val="00955A21"/>
    <w:rsid w:val="00967BDD"/>
    <w:rsid w:val="00974A7F"/>
    <w:rsid w:val="009756DB"/>
    <w:rsid w:val="009838F5"/>
    <w:rsid w:val="00992AE5"/>
    <w:rsid w:val="00995555"/>
    <w:rsid w:val="009970D3"/>
    <w:rsid w:val="009A7C08"/>
    <w:rsid w:val="009B72F1"/>
    <w:rsid w:val="009D02E6"/>
    <w:rsid w:val="00A2788A"/>
    <w:rsid w:val="00A34FAA"/>
    <w:rsid w:val="00AB226B"/>
    <w:rsid w:val="00AC25FC"/>
    <w:rsid w:val="00AC36B2"/>
    <w:rsid w:val="00AD71B4"/>
    <w:rsid w:val="00AE3CCE"/>
    <w:rsid w:val="00B21BCF"/>
    <w:rsid w:val="00B37136"/>
    <w:rsid w:val="00B75FE2"/>
    <w:rsid w:val="00B952DD"/>
    <w:rsid w:val="00B9769E"/>
    <w:rsid w:val="00BC0376"/>
    <w:rsid w:val="00BD1636"/>
    <w:rsid w:val="00BD38DE"/>
    <w:rsid w:val="00BD5463"/>
    <w:rsid w:val="00BE3093"/>
    <w:rsid w:val="00BE7CAE"/>
    <w:rsid w:val="00BF013B"/>
    <w:rsid w:val="00C0484E"/>
    <w:rsid w:val="00C263D1"/>
    <w:rsid w:val="00C40E8F"/>
    <w:rsid w:val="00C577BA"/>
    <w:rsid w:val="00C962F9"/>
    <w:rsid w:val="00CA5954"/>
    <w:rsid w:val="00CB296A"/>
    <w:rsid w:val="00CD0A87"/>
    <w:rsid w:val="00CD23BC"/>
    <w:rsid w:val="00CD3662"/>
    <w:rsid w:val="00CE1481"/>
    <w:rsid w:val="00D26991"/>
    <w:rsid w:val="00D310AF"/>
    <w:rsid w:val="00D36ABF"/>
    <w:rsid w:val="00D44E96"/>
    <w:rsid w:val="00D4591B"/>
    <w:rsid w:val="00D462BA"/>
    <w:rsid w:val="00D70874"/>
    <w:rsid w:val="00D861A2"/>
    <w:rsid w:val="00D94EA6"/>
    <w:rsid w:val="00DE1E57"/>
    <w:rsid w:val="00DE5C8E"/>
    <w:rsid w:val="00DE7830"/>
    <w:rsid w:val="00E03097"/>
    <w:rsid w:val="00E14E30"/>
    <w:rsid w:val="00E1602B"/>
    <w:rsid w:val="00E17EAE"/>
    <w:rsid w:val="00E2447A"/>
    <w:rsid w:val="00E722AC"/>
    <w:rsid w:val="00E75058"/>
    <w:rsid w:val="00EB2DDF"/>
    <w:rsid w:val="00EE7743"/>
    <w:rsid w:val="00EF4DBC"/>
    <w:rsid w:val="00F16EA3"/>
    <w:rsid w:val="00F20B1D"/>
    <w:rsid w:val="00F424A5"/>
    <w:rsid w:val="00F502B1"/>
    <w:rsid w:val="00F550EC"/>
    <w:rsid w:val="00FA0BE2"/>
    <w:rsid w:val="00FA224F"/>
    <w:rsid w:val="00FB54D1"/>
    <w:rsid w:val="00FC7099"/>
    <w:rsid w:val="00FC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CC317B0E-CE61-4B72-8364-8AFFC81D0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2A4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semiHidden/>
    <w:rsid w:val="007F32A4"/>
    <w:pPr>
      <w:spacing w:before="100" w:beforeAutospacing="1" w:after="100" w:afterAutospacing="1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B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B0C"/>
    <w:rPr>
      <w:rFonts w:ascii="Tahoma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910E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326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Comunicación Visual</Company>
  <LinksUpToDate>false</LinksUpToDate>
  <CharactersWithSpaces>2115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LópezTenutta</dc:creator>
  <cp:keywords/>
  <dc:description/>
  <cp:lastModifiedBy>Eduardo Russo</cp:lastModifiedBy>
  <cp:revision>7</cp:revision>
  <cp:lastPrinted>2015-05-26T16:19:00Z</cp:lastPrinted>
  <dcterms:created xsi:type="dcterms:W3CDTF">2016-06-22T14:56:00Z</dcterms:created>
  <dcterms:modified xsi:type="dcterms:W3CDTF">2016-06-29T11:25:00Z</dcterms:modified>
</cp:coreProperties>
</file>