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A3" w:rsidRDefault="00CF1E3E" w:rsidP="00CB6F27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 PARA EXA</w:t>
      </w:r>
      <w:r w:rsidR="00CB6F27">
        <w:rPr>
          <w:rFonts w:ascii="Arial" w:hAnsi="Arial" w:cs="Arial"/>
          <w:b/>
          <w:sz w:val="24"/>
          <w:szCs w:val="24"/>
        </w:rPr>
        <w:t xml:space="preserve">MEN </w:t>
      </w:r>
      <w:r>
        <w:rPr>
          <w:rFonts w:ascii="Arial" w:hAnsi="Arial" w:cs="Arial"/>
          <w:b/>
          <w:sz w:val="24"/>
          <w:szCs w:val="24"/>
        </w:rPr>
        <w:t xml:space="preserve">2017 </w:t>
      </w:r>
      <w:r w:rsidR="00CB6F27">
        <w:rPr>
          <w:rFonts w:ascii="Arial" w:hAnsi="Arial" w:cs="Arial"/>
          <w:b/>
          <w:sz w:val="24"/>
          <w:szCs w:val="24"/>
        </w:rPr>
        <w:t xml:space="preserve">DE RESIDENCIAS </w:t>
      </w:r>
    </w:p>
    <w:p w:rsidR="00CB6F27" w:rsidRDefault="00CB6F27" w:rsidP="00CB6F27">
      <w:pPr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Psicología de los Grupos</w:t>
      </w:r>
    </w:p>
    <w:p w:rsidR="00CB6F27" w:rsidRDefault="00CB6F27" w:rsidP="00CB6F27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B6F27" w:rsidRDefault="00CB6F27" w:rsidP="00CB6F27">
      <w:pPr>
        <w:ind w:left="709" w:hanging="709"/>
        <w:rPr>
          <w:rFonts w:ascii="Arial" w:eastAsia="Times New Roman" w:hAnsi="Arial" w:cs="Arial"/>
          <w:sz w:val="24"/>
          <w:szCs w:val="24"/>
          <w:lang w:eastAsia="es-ES"/>
        </w:rPr>
      </w:pPr>
      <w:r w:rsidRPr="00CB6F27">
        <w:rPr>
          <w:rFonts w:ascii="Arial" w:eastAsia="Times New Roman" w:hAnsi="Arial" w:cs="Arial"/>
          <w:sz w:val="24"/>
          <w:szCs w:val="24"/>
          <w:lang w:eastAsia="es-ES"/>
        </w:rPr>
        <w:t xml:space="preserve">Bernard, M. (2006).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grupos burocratizados. En </w:t>
      </w:r>
      <w:r w:rsidRPr="00CB6F27">
        <w:rPr>
          <w:rFonts w:ascii="Arial" w:eastAsia="Times New Roman" w:hAnsi="Arial" w:cs="Arial"/>
          <w:i/>
          <w:sz w:val="24"/>
          <w:szCs w:val="24"/>
          <w:lang w:eastAsia="es-ES"/>
        </w:rPr>
        <w:t>El trabajo psicoanalítico con pequeños grupos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(pp. 25-46)</w:t>
      </w:r>
      <w:r w:rsidRPr="00CB6F27">
        <w:rPr>
          <w:rFonts w:ascii="Arial" w:eastAsia="Times New Roman" w:hAnsi="Arial" w:cs="Arial"/>
          <w:sz w:val="24"/>
          <w:szCs w:val="24"/>
          <w:lang w:eastAsia="es-ES"/>
        </w:rPr>
        <w:t>. Buenos Aires: Lugar Editorial.</w:t>
      </w:r>
    </w:p>
    <w:p w:rsidR="00CB6F27" w:rsidRDefault="00CB6F27" w:rsidP="00CB6F27">
      <w:pPr>
        <w:ind w:left="709" w:hanging="709"/>
        <w:rPr>
          <w:rFonts w:ascii="Arial" w:eastAsia="Times New Roman" w:hAnsi="Arial" w:cs="Arial"/>
          <w:sz w:val="24"/>
          <w:szCs w:val="24"/>
          <w:lang w:eastAsia="es-ES"/>
        </w:rPr>
      </w:pPr>
      <w:r w:rsidRPr="00CB6F27">
        <w:rPr>
          <w:rFonts w:ascii="Arial" w:eastAsia="Times New Roman" w:hAnsi="Arial" w:cs="Arial"/>
          <w:sz w:val="24"/>
          <w:szCs w:val="24"/>
          <w:lang w:eastAsia="es-ES"/>
        </w:rPr>
        <w:t xml:space="preserve">Bernard, M. (2006).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grupos de reflexión. En </w:t>
      </w:r>
      <w:r w:rsidRPr="00CB6F27">
        <w:rPr>
          <w:rFonts w:ascii="Arial" w:eastAsia="Times New Roman" w:hAnsi="Arial" w:cs="Arial"/>
          <w:i/>
          <w:sz w:val="24"/>
          <w:szCs w:val="24"/>
          <w:lang w:eastAsia="es-ES"/>
        </w:rPr>
        <w:t>El trabajo psicoanalítico con pequeños grupos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(pp. 77-84)</w:t>
      </w:r>
      <w:r w:rsidRPr="00CB6F27">
        <w:rPr>
          <w:rFonts w:ascii="Arial" w:eastAsia="Times New Roman" w:hAnsi="Arial" w:cs="Arial"/>
          <w:sz w:val="24"/>
          <w:szCs w:val="24"/>
          <w:lang w:eastAsia="es-ES"/>
        </w:rPr>
        <w:t>. Buenos Aires: Lugar Editorial.</w:t>
      </w:r>
    </w:p>
    <w:p w:rsidR="008F377C" w:rsidRPr="008F377C" w:rsidRDefault="008F377C" w:rsidP="00CB6F27">
      <w:pPr>
        <w:ind w:left="709" w:hanging="709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Fernández, Ana María (2008). El vocablo grupo y su campo semántico. En </w:t>
      </w:r>
      <w:r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El campo grupal. Notas para una genealogía </w:t>
      </w:r>
      <w:r w:rsidRPr="008F377C">
        <w:rPr>
          <w:rFonts w:ascii="Arial" w:eastAsia="Times New Roman" w:hAnsi="Arial" w:cs="Arial"/>
          <w:sz w:val="24"/>
          <w:szCs w:val="24"/>
          <w:lang w:eastAsia="es-ES"/>
        </w:rPr>
        <w:t>(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pp. </w:t>
      </w:r>
      <w:r w:rsidRPr="008F377C">
        <w:rPr>
          <w:rFonts w:ascii="Arial" w:eastAsia="Times New Roman" w:hAnsi="Arial" w:cs="Arial"/>
          <w:sz w:val="24"/>
          <w:szCs w:val="24"/>
          <w:lang w:eastAsia="es-ES"/>
        </w:rPr>
        <w:t>29-36).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Buenos Aires: Nueva Visión.</w:t>
      </w:r>
    </w:p>
    <w:p w:rsidR="00CB6F27" w:rsidRDefault="00CB6F27" w:rsidP="00CB6F27">
      <w:pPr>
        <w:ind w:left="709" w:hanging="709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B6F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Grinberg, L., Sor, D. y Tabak de Bianchedi, E. (1991).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Grupos. En </w:t>
      </w:r>
      <w:r w:rsidRPr="00CB6F27">
        <w:rPr>
          <w:rFonts w:ascii="Arial" w:eastAsia="Times New Roman" w:hAnsi="Arial" w:cs="Arial"/>
          <w:bCs/>
          <w:i/>
          <w:sz w:val="24"/>
          <w:szCs w:val="24"/>
          <w:lang w:eastAsia="es-ES"/>
        </w:rPr>
        <w:t>Nueva introducción a las ideas de Bion</w:t>
      </w:r>
      <w:r>
        <w:rPr>
          <w:rFonts w:ascii="Arial" w:eastAsia="Times New Roman" w:hAnsi="Arial" w:cs="Arial"/>
          <w:bCs/>
          <w:i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(pp. 19-36)</w:t>
      </w:r>
      <w:r w:rsidRPr="00CB6F27">
        <w:rPr>
          <w:rFonts w:ascii="Arial" w:eastAsia="Times New Roman" w:hAnsi="Arial" w:cs="Arial"/>
          <w:bCs/>
          <w:i/>
          <w:sz w:val="24"/>
          <w:szCs w:val="24"/>
          <w:lang w:eastAsia="es-ES"/>
        </w:rPr>
        <w:t xml:space="preserve">. </w:t>
      </w:r>
      <w:r w:rsidRPr="00CB6F2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Madrid: Tecnipublicaciones S.A. </w:t>
      </w:r>
    </w:p>
    <w:p w:rsidR="007B2227" w:rsidRDefault="007B2227" w:rsidP="007B2227">
      <w:pPr>
        <w:ind w:left="709" w:hanging="709"/>
        <w:rPr>
          <w:rFonts w:ascii="TrebuchetMS-Bold" w:hAnsi="TrebuchetMS-Bold" w:cs="TrebuchetMS-Bold"/>
          <w:bCs/>
          <w:color w:val="000000"/>
          <w:sz w:val="24"/>
          <w:szCs w:val="24"/>
        </w:rPr>
      </w:pPr>
      <w:r w:rsidRPr="007B2227">
        <w:rPr>
          <w:rFonts w:ascii="TrebuchetMS-Bold" w:hAnsi="TrebuchetMS-Bold" w:cs="TrebuchetMS-Bold"/>
          <w:bCs/>
          <w:color w:val="000000"/>
          <w:sz w:val="24"/>
          <w:szCs w:val="24"/>
        </w:rPr>
        <w:t>Hernández-Día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z, J., </w:t>
      </w:r>
      <w:r w:rsidRPr="007B2227">
        <w:rPr>
          <w:rFonts w:ascii="TrebuchetMS-Bold" w:hAnsi="TrebuchetMS-Bold" w:cs="TrebuchetMS-Bold"/>
          <w:bCs/>
          <w:color w:val="000000"/>
          <w:sz w:val="24"/>
          <w:szCs w:val="24"/>
        </w:rPr>
        <w:t>Paredes-Carbonel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>l, J.</w:t>
      </w:r>
      <w:r w:rsidRPr="007B2227">
        <w:rPr>
          <w:rFonts w:ascii="MTSYB" w:eastAsia="MTSYB" w:hAnsi="TrebuchetMS-Bold" w:cs="MTSYB"/>
          <w:bCs/>
          <w:color w:val="0081AD"/>
          <w:sz w:val="16"/>
          <w:szCs w:val="16"/>
        </w:rPr>
        <w:t xml:space="preserve"> 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y </w:t>
      </w:r>
      <w:r w:rsidRPr="007B2227">
        <w:rPr>
          <w:rFonts w:ascii="TrebuchetMS-Bold" w:hAnsi="TrebuchetMS-Bold" w:cs="TrebuchetMS-Bold"/>
          <w:bCs/>
          <w:color w:val="000000"/>
          <w:sz w:val="24"/>
          <w:szCs w:val="24"/>
        </w:rPr>
        <w:t>Marín Torren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>s, R. (</w:t>
      </w:r>
      <w:r w:rsidR="00284E91"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enero de 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2014). </w:t>
      </w:r>
      <w:r w:rsidRPr="007B2227">
        <w:rPr>
          <w:rFonts w:ascii="TrebuchetMS-Bold" w:hAnsi="TrebuchetMS-Bold" w:cs="TrebuchetMS-Bold"/>
          <w:bCs/>
          <w:color w:val="000000"/>
          <w:sz w:val="24"/>
          <w:szCs w:val="24"/>
        </w:rPr>
        <w:t>Cómo diseñar talleres para promover la salud en grupos comunitarios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. </w:t>
      </w:r>
      <w:r>
        <w:rPr>
          <w:rFonts w:ascii="TrebuchetMS-Bold" w:hAnsi="TrebuchetMS-Bold" w:cs="TrebuchetMS-Bold"/>
          <w:bCs/>
          <w:i/>
          <w:color w:val="000000"/>
          <w:sz w:val="24"/>
          <w:szCs w:val="24"/>
        </w:rPr>
        <w:t xml:space="preserve">Atención Primaria, </w:t>
      </w:r>
      <w:r w:rsidR="00284E91">
        <w:rPr>
          <w:rFonts w:ascii="TrebuchetMS-Bold" w:hAnsi="TrebuchetMS-Bold" w:cs="TrebuchetMS-Bold"/>
          <w:bCs/>
          <w:color w:val="000000"/>
          <w:sz w:val="24"/>
          <w:szCs w:val="24"/>
        </w:rPr>
        <w:t>46-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1, 40-47. </w:t>
      </w:r>
      <w:r w:rsidR="00284E91"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Revista de la </w:t>
      </w:r>
      <w:r w:rsidR="00284E91" w:rsidRPr="00284E91">
        <w:rPr>
          <w:rFonts w:ascii="TrebuchetMS-Bold" w:hAnsi="TrebuchetMS-Bold" w:cs="TrebuchetMS-Bold"/>
          <w:bCs/>
          <w:color w:val="000000"/>
          <w:sz w:val="24"/>
          <w:szCs w:val="24"/>
        </w:rPr>
        <w:t>Sociedad Española de Medicina de Familia y Comunitaria</w:t>
      </w:r>
      <w:r w:rsidR="00284E91"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. </w:t>
      </w:r>
      <w:r>
        <w:rPr>
          <w:rFonts w:ascii="TrebuchetMS-Bold" w:hAnsi="TrebuchetMS-Bold" w:cs="TrebuchetMS-Bold"/>
          <w:bCs/>
          <w:color w:val="000000"/>
          <w:sz w:val="24"/>
          <w:szCs w:val="24"/>
        </w:rPr>
        <w:t xml:space="preserve">En </w:t>
      </w:r>
      <w:hyperlink r:id="rId4" w:history="1">
        <w:r w:rsidRPr="00E63695">
          <w:rPr>
            <w:rStyle w:val="Hipervnculo"/>
            <w:rFonts w:ascii="TrebuchetMS-Bold" w:hAnsi="TrebuchetMS-Bold" w:cs="TrebuchetMS-Bold"/>
            <w:bCs/>
            <w:sz w:val="24"/>
            <w:szCs w:val="24"/>
          </w:rPr>
          <w:t>http://www.elsevier.es/es-revista-atencion-primaria-27-articulo-como-disenar-talleres-promover-salud-S021265671300200X</w:t>
        </w:r>
      </w:hyperlink>
    </w:p>
    <w:p w:rsidR="007B2227" w:rsidRPr="007B2227" w:rsidRDefault="007B2227" w:rsidP="007B2227">
      <w:pPr>
        <w:ind w:left="709" w:hanging="709"/>
        <w:rPr>
          <w:rFonts w:ascii="TrebuchetMS-Bold" w:hAnsi="TrebuchetMS-Bold" w:cs="TrebuchetMS-Bold"/>
          <w:bCs/>
          <w:color w:val="000000"/>
          <w:sz w:val="24"/>
          <w:szCs w:val="24"/>
        </w:rPr>
      </w:pPr>
    </w:p>
    <w:p w:rsidR="00CB6F27" w:rsidRDefault="00CB6F27" w:rsidP="00CB6F27">
      <w:pPr>
        <w:ind w:left="709" w:hanging="709"/>
        <w:rPr>
          <w:rFonts w:ascii="TrebuchetMS-Bold" w:hAnsi="TrebuchetMS-Bold" w:cs="TrebuchetMS-Bold"/>
          <w:bCs/>
          <w:color w:val="000000"/>
          <w:sz w:val="24"/>
          <w:szCs w:val="24"/>
        </w:rPr>
      </w:pPr>
    </w:p>
    <w:p w:rsidR="007B2227" w:rsidRDefault="007B2227" w:rsidP="00CB6F27">
      <w:pPr>
        <w:ind w:left="709" w:hanging="709"/>
        <w:rPr>
          <w:rFonts w:ascii="TrebuchetMS-Bold" w:hAnsi="TrebuchetMS-Bold" w:cs="TrebuchetMS-Bold"/>
          <w:bCs/>
          <w:color w:val="000000"/>
          <w:sz w:val="24"/>
          <w:szCs w:val="24"/>
        </w:rPr>
      </w:pPr>
    </w:p>
    <w:p w:rsidR="007B2227" w:rsidRDefault="007B2227" w:rsidP="00CB6F27">
      <w:pPr>
        <w:ind w:left="709" w:hanging="709"/>
        <w:rPr>
          <w:rFonts w:ascii="TrebuchetMS-Bold" w:hAnsi="TrebuchetMS-Bold" w:cs="TrebuchetMS-Bold"/>
          <w:bCs/>
          <w:color w:val="000000"/>
          <w:sz w:val="24"/>
          <w:szCs w:val="24"/>
        </w:rPr>
      </w:pPr>
    </w:p>
    <w:p w:rsidR="007B2227" w:rsidRPr="007B2227" w:rsidRDefault="007B2227" w:rsidP="00CB6F27">
      <w:pPr>
        <w:ind w:left="709" w:hanging="709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CB6F27" w:rsidRPr="00CB6F27" w:rsidRDefault="00CB6F27" w:rsidP="00CB6F27">
      <w:pPr>
        <w:ind w:left="709" w:hanging="709"/>
        <w:rPr>
          <w:rFonts w:ascii="Arial" w:eastAsia="Times New Roman" w:hAnsi="Arial" w:cs="Arial"/>
          <w:sz w:val="24"/>
          <w:szCs w:val="24"/>
          <w:lang w:eastAsia="es-ES"/>
        </w:rPr>
      </w:pPr>
    </w:p>
    <w:p w:rsidR="00CB6F27" w:rsidRPr="00CB6F27" w:rsidRDefault="00CB6F27" w:rsidP="00CB6F27">
      <w:pPr>
        <w:ind w:left="709" w:hanging="709"/>
        <w:rPr>
          <w:rFonts w:ascii="Arial" w:eastAsia="Times New Roman" w:hAnsi="Arial" w:cs="Arial"/>
          <w:sz w:val="24"/>
          <w:szCs w:val="24"/>
          <w:lang w:eastAsia="es-ES"/>
        </w:rPr>
      </w:pPr>
    </w:p>
    <w:p w:rsidR="00CB6F27" w:rsidRPr="00CB6F27" w:rsidRDefault="00CB6F27" w:rsidP="00CB6F27">
      <w:pPr>
        <w:ind w:left="0"/>
        <w:rPr>
          <w:rFonts w:ascii="Arial" w:hAnsi="Arial" w:cs="Arial"/>
          <w:b/>
          <w:sz w:val="24"/>
          <w:szCs w:val="24"/>
        </w:rPr>
      </w:pPr>
    </w:p>
    <w:sectPr w:rsidR="00CB6F27" w:rsidRPr="00CB6F27" w:rsidSect="00AF76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B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6F27"/>
    <w:rsid w:val="00284E91"/>
    <w:rsid w:val="002937A7"/>
    <w:rsid w:val="00456B35"/>
    <w:rsid w:val="007B2227"/>
    <w:rsid w:val="008F377C"/>
    <w:rsid w:val="00AF76A3"/>
    <w:rsid w:val="00BA27D1"/>
    <w:rsid w:val="00CB6F27"/>
    <w:rsid w:val="00CF1E3E"/>
    <w:rsid w:val="00E3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22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2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sevier.es/es-revista-atencion-primaria-27-articulo-como-disenar-talleres-promover-salud-S021265671300200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2017-03-23T13:16:00Z</dcterms:created>
  <dcterms:modified xsi:type="dcterms:W3CDTF">2017-04-03T11:15:00Z</dcterms:modified>
</cp:coreProperties>
</file>