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lang w:val="es-MX"/>
        </w:rPr>
      </w:pPr>
      <w:r>
        <w:rPr>
          <w:b/>
          <w:lang w:val="es-MX"/>
        </w:rPr>
        <w:t>ACUERDO N° 3949</w:t>
      </w:r>
    </w:p>
    <w:p>
      <w:pPr>
        <w:jc w:val="center"/>
        <w:rPr>
          <w:b/>
          <w:lang w:val="es-MX"/>
        </w:rPr>
      </w:pPr>
      <w:r>
        <w:rPr>
          <w:b/>
          <w:lang w:val="es-MX"/>
        </w:rPr>
        <w:t>ANEXO 30: ART. 5 Inc c)</w:t>
      </w:r>
    </w:p>
    <w:p>
      <w:pPr>
        <w:jc w:val="center"/>
        <w:rPr>
          <w:b/>
          <w:lang w:val="es-MX"/>
        </w:rPr>
      </w:pPr>
      <w:r>
        <w:rPr>
          <w:i/>
          <w:iCs/>
        </w:rPr>
        <w:t>Causas de los incumplimientos de las metas, en caso de existir.</w:t>
      </w:r>
    </w:p>
    <w:p>
      <w:pPr>
        <w:pBdr>
          <w:top w:val="single" w:color="auto" w:sz="4" w:space="1"/>
          <w:left w:val="single" w:color="auto" w:sz="4" w:space="4"/>
          <w:bottom w:val="single" w:color="auto" w:sz="4" w:space="1"/>
          <w:right w:val="single" w:color="auto" w:sz="4" w:space="4"/>
        </w:pBdr>
        <w:jc w:val="both"/>
        <w:rPr>
          <w:b/>
          <w:lang w:val="es-MX"/>
        </w:rPr>
      </w:pPr>
      <w:r>
        <w:rPr>
          <w:b/>
          <w:lang w:val="es-MX"/>
        </w:rPr>
        <w:t>Repartición/Organismo:   Ministerio Público Fiscal</w:t>
      </w:r>
    </w:p>
    <w:p>
      <w:pPr>
        <w:pBdr>
          <w:top w:val="single" w:color="auto" w:sz="4" w:space="1"/>
          <w:left w:val="single" w:color="auto" w:sz="4" w:space="4"/>
          <w:bottom w:val="single" w:color="auto" w:sz="4" w:space="1"/>
          <w:right w:val="single" w:color="auto" w:sz="4" w:space="4"/>
        </w:pBdr>
        <w:jc w:val="both"/>
        <w:rPr>
          <w:b/>
          <w:lang w:val="es-MX"/>
        </w:rPr>
      </w:pPr>
      <w:r>
        <w:rPr>
          <w:b/>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b/>
          <w:lang w:val="es-AR"/>
        </w:rPr>
      </w:pPr>
      <w:r>
        <w:rPr>
          <w:b/>
          <w:lang w:val="es-MX"/>
        </w:rPr>
        <w:t>Ejercicio:   2.0</w:t>
      </w:r>
      <w:r>
        <w:rPr>
          <w:b/>
          <w:lang w:val="es-AR"/>
        </w:rPr>
        <w:t>20</w:t>
      </w:r>
      <w:r>
        <w:rPr>
          <w:b/>
          <w:lang w:val="es-MX"/>
        </w:rPr>
        <w:t xml:space="preserve">                                                      Trimestre: </w:t>
      </w:r>
      <w:r>
        <w:rPr>
          <w:b/>
          <w:lang w:val="es-AR"/>
        </w:rPr>
        <w:t>TERCERO</w:t>
      </w:r>
    </w:p>
    <w:p>
      <w:pPr>
        <w:tabs>
          <w:tab w:val="left" w:pos="4680"/>
        </w:tabs>
        <w:spacing w:line="360" w:lineRule="auto"/>
        <w:ind w:left="720"/>
        <w:jc w:val="both"/>
        <w:rPr>
          <w:b/>
          <w:bCs/>
        </w:rPr>
      </w:pPr>
      <w:r>
        <w:rPr>
          <w:lang w:val="es-MX"/>
        </w:rPr>
        <w:t>“</w:t>
      </w:r>
      <w:r>
        <w:rPr>
          <w:b/>
          <w:bCs/>
        </w:rPr>
        <w:t>Información Artículo 27 Ley 7.314 y 5° inc c) Acuerdo 3949 y su modifc. 4.559”.</w:t>
      </w:r>
    </w:p>
    <w:p>
      <w:pPr>
        <w:tabs>
          <w:tab w:val="left" w:pos="4680"/>
        </w:tabs>
        <w:spacing w:line="360" w:lineRule="auto"/>
        <w:ind w:left="720"/>
        <w:jc w:val="both"/>
        <w:rPr>
          <w:lang w:val="es-MX"/>
        </w:rPr>
      </w:pPr>
      <w:r>
        <w:rPr>
          <w:lang w:val="es-MX"/>
        </w:rPr>
        <w:t xml:space="preserve">RECURSOS CORRIENTES: </w:t>
      </w:r>
    </w:p>
    <w:p>
      <w:pPr>
        <w:tabs>
          <w:tab w:val="left" w:pos="4680"/>
        </w:tabs>
        <w:spacing w:line="360" w:lineRule="auto"/>
        <w:ind w:left="720"/>
        <w:jc w:val="both"/>
        <w:rPr>
          <w:lang w:val="es-AR"/>
        </w:rPr>
      </w:pPr>
      <w:r>
        <w:rPr>
          <w:lang w:val="es-AR"/>
        </w:rPr>
        <w:t xml:space="preserve">Dada la débil y paulatina activación económica y financiera consecuencia de la pandemia por Covid 19, se programaron recursos de manera austera. </w:t>
      </w:r>
      <w:r>
        <w:rPr>
          <w:rFonts w:hint="default"/>
          <w:lang w:val="es-MX"/>
        </w:rPr>
        <w:t xml:space="preserve">Con </w:t>
      </w:r>
      <w:r>
        <w:rPr>
          <w:rFonts w:hint="default"/>
          <w:lang w:val="es-AR"/>
        </w:rPr>
        <w:t xml:space="preserve">los </w:t>
      </w:r>
      <w:r>
        <w:rPr>
          <w:rFonts w:hint="default"/>
          <w:lang w:val="es-MX"/>
        </w:rPr>
        <w:t>recursos propios</w:t>
      </w:r>
      <w:r>
        <w:rPr>
          <w:rFonts w:hint="default"/>
          <w:lang w:val="es-AR"/>
        </w:rPr>
        <w:t xml:space="preserve"> del organismo</w:t>
      </w:r>
      <w:r>
        <w:rPr>
          <w:rFonts w:hint="default"/>
          <w:lang w:val="es-MX"/>
        </w:rPr>
        <w:t xml:space="preserve">, se logró </w:t>
      </w:r>
      <w:r>
        <w:rPr>
          <w:rFonts w:hint="default"/>
          <w:lang w:val="es-AR"/>
        </w:rPr>
        <w:t>recaudar</w:t>
      </w:r>
      <w:r>
        <w:rPr>
          <w:rFonts w:hint="default"/>
          <w:lang w:val="es-MX"/>
        </w:rPr>
        <w:t xml:space="preserve"> mas del 70% de lo </w:t>
      </w:r>
      <w:r>
        <w:rPr>
          <w:rFonts w:hint="default"/>
          <w:lang w:val="es-AR"/>
        </w:rPr>
        <w:t>estimado en Anexo 1</w:t>
      </w:r>
      <w:r>
        <w:rPr>
          <w:rFonts w:hint="default"/>
          <w:lang w:val="es-MX"/>
        </w:rPr>
        <w:t>.</w:t>
      </w:r>
      <w:r>
        <w:rPr>
          <w:rFonts w:hint="default"/>
          <w:lang w:val="es-AR"/>
        </w:rPr>
        <w:t>(71,58%).</w:t>
      </w:r>
    </w:p>
    <w:p>
      <w:pPr>
        <w:tabs>
          <w:tab w:val="left" w:pos="4680"/>
        </w:tabs>
        <w:spacing w:line="360" w:lineRule="auto"/>
        <w:ind w:left="720"/>
        <w:jc w:val="both"/>
        <w:rPr>
          <w:lang w:val="es-AR"/>
        </w:rPr>
      </w:pPr>
      <w:r>
        <w:rPr>
          <w:lang w:val="es-MX"/>
        </w:rPr>
        <w:t>GASTOS CORRIENTES</w:t>
      </w:r>
      <w:r>
        <w:rPr>
          <w:lang w:val="es-AR"/>
        </w:rPr>
        <w:t xml:space="preserve"> y GASTOS DE CAPITAL</w:t>
      </w:r>
      <w:bookmarkStart w:id="0" w:name="_GoBack"/>
      <w:bookmarkEnd w:id="0"/>
    </w:p>
    <w:p>
      <w:pPr>
        <w:tabs>
          <w:tab w:val="left" w:pos="4680"/>
        </w:tabs>
        <w:spacing w:line="360" w:lineRule="auto"/>
        <w:ind w:left="720"/>
        <w:jc w:val="both"/>
        <w:rPr>
          <w:rFonts w:hint="default"/>
          <w:lang w:val="es-AR"/>
        </w:rPr>
      </w:pPr>
      <w:r>
        <w:rPr>
          <w:rFonts w:hint="default"/>
          <w:lang w:val="es-AR"/>
        </w:rPr>
        <w:t xml:space="preserve">Los gastos corrientes para el Tercer trimestre, alcanzaron el 98% de lo programado, hay una mayor aplicación respecto del trimestre anterior dada la necesidad de compras corrientes, relacionadas con previsiones en insumos por la pandemia. Igualmente se ilustra austeridad en la decisión del gasto. </w:t>
      </w:r>
    </w:p>
    <w:p>
      <w:pPr>
        <w:tabs>
          <w:tab w:val="left" w:pos="4680"/>
        </w:tabs>
        <w:spacing w:line="360" w:lineRule="auto"/>
        <w:ind w:left="720"/>
        <w:jc w:val="both"/>
        <w:rPr>
          <w:rFonts w:hint="default"/>
          <w:lang w:val="es-AR"/>
        </w:rPr>
      </w:pPr>
      <w:r>
        <w:rPr>
          <w:rFonts w:hint="default"/>
          <w:lang w:val="es-AR"/>
        </w:rPr>
        <w:t xml:space="preserve">El gasto de Capital se limitó a menos de un 33% de lo programado, en concordancia con el Segundo Trimestre. Responde a Inversión en equipamiento para elevar los niveles de seguridad del laboratorio del Cuerpo Médico Forense y del Registro Provincial de Huellas Genéticas al Nivel de Seguridad 4.- </w:t>
      </w:r>
    </w:p>
    <w:p>
      <w:pPr>
        <w:tabs>
          <w:tab w:val="left" w:pos="4680"/>
        </w:tabs>
        <w:spacing w:line="360" w:lineRule="auto"/>
        <w:ind w:left="720"/>
        <w:jc w:val="both"/>
        <w:rPr>
          <w:rFonts w:hint="default"/>
          <w:lang w:val="es-AR"/>
        </w:rPr>
      </w:pPr>
      <w:r>
        <w:rPr>
          <w:rFonts w:hint="default"/>
          <w:lang w:val="es-AR"/>
        </w:rPr>
        <w:t xml:space="preserve">El resultado financiero no resulta negativo, dado el computo de los recursos propios generados y la inclusión en la exposición de la recaudación por tasa de Jcia. (Fin 21). </w:t>
      </w:r>
    </w:p>
    <w:p>
      <w:pPr>
        <w:keepNext w:val="0"/>
        <w:keepLines w:val="0"/>
        <w:pageBreakBefore w:val="0"/>
        <w:widowControl/>
        <w:kinsoku/>
        <w:wordWrap/>
        <w:overflowPunct/>
        <w:topLinePunct w:val="0"/>
        <w:autoSpaceDE/>
        <w:autoSpaceDN/>
        <w:bidi w:val="0"/>
        <w:adjustRightInd/>
        <w:snapToGrid/>
        <w:spacing w:after="0"/>
        <w:jc w:val="left"/>
        <w:textAlignment w:val="auto"/>
        <w:outlineLvl w:val="9"/>
        <w:rPr>
          <w:rFonts w:ascii="Arial" w:hAnsi="Arial" w:cs="Arial"/>
          <w:b/>
          <w:bCs/>
          <w:sz w:val="16"/>
          <w:szCs w:val="16"/>
        </w:rPr>
      </w:pPr>
      <w:r>
        <w:rPr>
          <w:rFonts w:ascii="Arial" w:hAnsi="Arial" w:cs="Arial"/>
          <w:b/>
          <w:bCs/>
          <w:sz w:val="16"/>
          <w:szCs w:val="16"/>
        </w:rPr>
        <w:t>SERVICIO ADMINISTRATIVO FINANCIERO –MIN. PUBLICO FISCAL-</w:t>
      </w:r>
    </w:p>
    <w:p>
      <w:pPr>
        <w:spacing w:line="276" w:lineRule="auto"/>
        <w:jc w:val="both"/>
      </w:pPr>
      <w:r>
        <w:rPr>
          <w:rFonts w:ascii="Arial" w:hAnsi="Arial" w:cs="Arial"/>
          <w:b/>
          <w:bCs/>
          <w:sz w:val="16"/>
          <w:szCs w:val="16"/>
        </w:rPr>
        <w:t xml:space="preserve">Mendoza,  </w:t>
      </w:r>
      <w:r>
        <w:rPr>
          <w:rFonts w:ascii="Arial" w:hAnsi="Arial" w:cs="Arial"/>
          <w:b/>
          <w:bCs/>
          <w:sz w:val="16"/>
          <w:szCs w:val="16"/>
          <w:lang w:val="es-AR"/>
        </w:rPr>
        <w:t>noviembre</w:t>
      </w:r>
      <w:r>
        <w:rPr>
          <w:rFonts w:ascii="Arial" w:hAnsi="Arial" w:cs="Arial"/>
          <w:b/>
          <w:bCs/>
          <w:sz w:val="16"/>
          <w:szCs w:val="16"/>
        </w:rPr>
        <w:t xml:space="preserve"> 2020.</w:t>
      </w:r>
    </w:p>
    <w:sectPr>
      <w:headerReference r:id="rId5" w:type="first"/>
      <w:footerReference r:id="rId8" w:type="first"/>
      <w:headerReference r:id="rId3" w:type="default"/>
      <w:footerReference r:id="rId6" w:type="default"/>
      <w:headerReference r:id="rId4" w:type="even"/>
      <w:footerReference r:id="rId7" w:type="even"/>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D55884"/>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726D"/>
    <w:rsid w:val="00210FA7"/>
    <w:rsid w:val="00216417"/>
    <w:rsid w:val="0026631D"/>
    <w:rsid w:val="002C2F53"/>
    <w:rsid w:val="002C3CAB"/>
    <w:rsid w:val="002C3FD3"/>
    <w:rsid w:val="002E0CA7"/>
    <w:rsid w:val="002E10F4"/>
    <w:rsid w:val="00306376"/>
    <w:rsid w:val="0031503B"/>
    <w:rsid w:val="0033518C"/>
    <w:rsid w:val="003437C2"/>
    <w:rsid w:val="00362644"/>
    <w:rsid w:val="0037122B"/>
    <w:rsid w:val="00377186"/>
    <w:rsid w:val="003A1C03"/>
    <w:rsid w:val="00414627"/>
    <w:rsid w:val="00425D63"/>
    <w:rsid w:val="004403E6"/>
    <w:rsid w:val="00444E15"/>
    <w:rsid w:val="004643D8"/>
    <w:rsid w:val="00466355"/>
    <w:rsid w:val="0049543A"/>
    <w:rsid w:val="00497C24"/>
    <w:rsid w:val="004B096B"/>
    <w:rsid w:val="004C43C6"/>
    <w:rsid w:val="004C7BA5"/>
    <w:rsid w:val="004E5B50"/>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14C222B"/>
    <w:rsid w:val="0AC16EB9"/>
    <w:rsid w:val="0E0B3E3F"/>
    <w:rsid w:val="1CD55884"/>
    <w:rsid w:val="4AE4758B"/>
    <w:rsid w:val="5870662D"/>
    <w:rsid w:val="5E902932"/>
    <w:rsid w:val="678B1ACA"/>
    <w:rsid w:val="74252D60"/>
    <w:rsid w:val="7BD90FD0"/>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FD7AB-6523-4D61-88DB-3FFCB943BEB2}">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Office_10.2.0.7516_F1E327BC-269C-435d-A152-05C5408002CA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2020-08-13T15:19:00Z</dcterms:created>
  <dc:creator>Sonia Colobini</dc:creator>
  <cp:lastModifiedBy>Sonia Colobini</cp:lastModifiedBy>
  <dcterms:modified xsi:type="dcterms:W3CDTF">2020-11-12T13:16:23Z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2058-10.2.0.7516</vt:lpwstr>
  </property>
</Properties>
</file>