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  <w:bookmarkStart w:id="0" w:name="_GoBack"/>
      <w:bookmarkEnd w:id="0"/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2.020</w:t>
      </w:r>
      <w:r w:rsidR="0071517C">
        <w:rPr>
          <w:b/>
          <w:lang w:val="es-MX"/>
        </w:rPr>
        <w:t xml:space="preserve">                                                </w:t>
      </w:r>
      <w:r w:rsidR="0071517C">
        <w:rPr>
          <w:b/>
          <w:lang w:val="es-MX"/>
        </w:rPr>
        <w:tab/>
      </w:r>
      <w:r w:rsidR="0071517C">
        <w:rPr>
          <w:b/>
          <w:lang w:val="es-MX"/>
        </w:rPr>
        <w:tab/>
        <w:t xml:space="preserve">Trimestre: </w:t>
      </w:r>
      <w:r w:rsidR="0051571D">
        <w:rPr>
          <w:b/>
          <w:lang w:val="es-MX"/>
        </w:rPr>
        <w:t>TERCERO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F41E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1F277E">
        <w:t xml:space="preserve">considerablemente </w:t>
      </w:r>
      <w:r w:rsidR="0071517C">
        <w:t>inferior a la</w:t>
      </w:r>
      <w:r w:rsidR="000C6875">
        <w:t xml:space="preserve"> de la</w:t>
      </w:r>
      <w:r w:rsidR="0071517C">
        <w:t xml:space="preserve"> programación financiera, debido a que la Tasa de Justicia</w:t>
      </w:r>
      <w:r w:rsidR="008D6591">
        <w:t xml:space="preserve"> (Financiamiento 21) </w:t>
      </w:r>
      <w:r w:rsidR="0071517C">
        <w:t xml:space="preserve"> no </w:t>
      </w:r>
      <w:r w:rsidR="00BD01BF">
        <w:t>ha sido</w:t>
      </w:r>
      <w:r w:rsidR="0071517C">
        <w:t xml:space="preserve"> </w:t>
      </w:r>
      <w:r w:rsidR="00CC79E0">
        <w:t>incluida</w:t>
      </w:r>
      <w:r w:rsidR="00DF3A9A">
        <w:t xml:space="preserve"> por ser</w:t>
      </w:r>
      <w:r w:rsidR="0071517C">
        <w:t xml:space="preserve"> recauda</w:t>
      </w:r>
      <w:r w:rsidR="00DF3A9A">
        <w:t>da</w:t>
      </w:r>
      <w:r w:rsidR="0071517C">
        <w:t xml:space="preserve"> a través de ATM </w:t>
      </w:r>
      <w:r w:rsidR="000C6875">
        <w:t>en el</w:t>
      </w:r>
      <w:r w:rsidR="0071517C"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 w:rsidR="0071517C">
        <w:t xml:space="preserve"> tampoco se expone en el Anexo 3.</w:t>
      </w:r>
      <w:r>
        <w:t xml:space="preserve"> </w:t>
      </w:r>
    </w:p>
    <w:p w:rsidR="008D659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>Cabe destacar que aunque no se expo</w:t>
      </w:r>
      <w:r w:rsidR="008D6591">
        <w:t>nga</w:t>
      </w:r>
      <w:r w:rsidR="00BF2E8B">
        <w:t xml:space="preserve">, </w:t>
      </w:r>
      <w:r w:rsidR="00956935">
        <w:t xml:space="preserve">en </w:t>
      </w:r>
      <w:r w:rsidR="00BF2E8B">
        <w:t xml:space="preserve">el </w:t>
      </w:r>
      <w:r w:rsidR="0051571D">
        <w:t>ejercicio</w:t>
      </w:r>
      <w:r w:rsidR="00A609B2">
        <w:t xml:space="preserve"> 2020</w:t>
      </w:r>
      <w:r w:rsidR="00956935">
        <w:t xml:space="preserve"> sufrimos una fuerte </w:t>
      </w:r>
      <w:r w:rsidR="008D6591">
        <w:t>caída en su recaudación</w:t>
      </w:r>
      <w:r w:rsidR="00A609B2">
        <w:t xml:space="preserve"> debido a la situación que atravie</w:t>
      </w:r>
      <w:r w:rsidR="008D6591">
        <w:t>sa la Provincia</w:t>
      </w:r>
      <w:r w:rsidR="00CB19A9">
        <w:t xml:space="preserve"> y el País</w:t>
      </w:r>
      <w:r w:rsidR="008D6591">
        <w:t xml:space="preserve"> </w:t>
      </w:r>
      <w:r w:rsidR="00A609B2">
        <w:t>por la Emergencia Sanitaria</w:t>
      </w:r>
      <w:r w:rsidR="00956935">
        <w:t xml:space="preserve">. </w:t>
      </w:r>
    </w:p>
    <w:p w:rsidR="0071517C" w:rsidRDefault="008D6591" w:rsidP="0071517C">
      <w:pPr>
        <w:tabs>
          <w:tab w:val="left" w:pos="4680"/>
        </w:tabs>
        <w:spacing w:line="360" w:lineRule="auto"/>
        <w:ind w:left="720"/>
        <w:jc w:val="both"/>
      </w:pPr>
      <w:r w:rsidRPr="008D6591">
        <w:t>Siendo éste el principal recurso de este Poder, la ejecución ha debido ser re</w:t>
      </w:r>
      <w:r w:rsidRPr="008D6591">
        <w:t>s</w:t>
      </w:r>
      <w:r w:rsidR="00CB19A9">
        <w:t>tringida significativamente</w:t>
      </w:r>
      <w:r w:rsidR="00115015">
        <w:t>. A pesar de que</w:t>
      </w:r>
      <w:r w:rsidRPr="008D6591">
        <w:t xml:space="preserve"> </w:t>
      </w:r>
      <w:r w:rsidR="00B83F46">
        <w:t>hemos notado una suba en la r</w:t>
      </w:r>
      <w:r w:rsidR="00B83F46">
        <w:t>e</w:t>
      </w:r>
      <w:r w:rsidR="00B83F46">
        <w:t xml:space="preserve">caudación </w:t>
      </w:r>
      <w:r w:rsidR="00115015">
        <w:t>d</w:t>
      </w:r>
      <w:r w:rsidR="00B83F46">
        <w:t>el tercer trimestre con respect</w:t>
      </w:r>
      <w:r w:rsidR="00115015">
        <w:t xml:space="preserve">o al segundo trimestre, </w:t>
      </w:r>
      <w:r w:rsidR="00B83F46">
        <w:t>la consid</w:t>
      </w:r>
      <w:r w:rsidR="00B83F46">
        <w:t>e</w:t>
      </w:r>
      <w:r w:rsidR="00B83F46">
        <w:t>ramos insuficiente</w:t>
      </w:r>
      <w:r w:rsidRPr="008D6591">
        <w:t xml:space="preserve"> para afrontar gastos mínimos e imprescindibles de funci</w:t>
      </w:r>
      <w:r w:rsidRPr="008D6591">
        <w:t>o</w:t>
      </w:r>
      <w:r w:rsidRPr="008D6591">
        <w:t>namie</w:t>
      </w:r>
      <w:r w:rsidRPr="008D6591">
        <w:t>n</w:t>
      </w:r>
      <w:r w:rsidRPr="008D6591">
        <w:t>to, incluso para afrontar compromisos ya asumidos.</w:t>
      </w:r>
    </w:p>
    <w:p w:rsidR="00DB5294" w:rsidRDefault="00DB5294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Pr="00374848" w:rsidRDefault="0071517C" w:rsidP="0071517C">
      <w:pPr>
        <w:tabs>
          <w:tab w:val="left" w:pos="4680"/>
        </w:tabs>
        <w:spacing w:line="360" w:lineRule="auto"/>
        <w:ind w:left="720"/>
        <w:jc w:val="both"/>
      </w:pPr>
      <w:r w:rsidRPr="00374848">
        <w:t>Las erogacione</w:t>
      </w:r>
      <w:r w:rsidR="00235655" w:rsidRPr="00374848">
        <w:t>s corrientes</w:t>
      </w:r>
      <w:r w:rsidR="00956935">
        <w:t xml:space="preserve"> y principalmente las de capital, se han visto re</w:t>
      </w:r>
      <w:r w:rsidR="00956935">
        <w:t>s</w:t>
      </w:r>
      <w:r w:rsidR="00956935">
        <w:t>tringidas al máximo</w:t>
      </w:r>
      <w:r w:rsidR="008D6591">
        <w:t xml:space="preserve"> teniendo en cuenta </w:t>
      </w:r>
      <w:r w:rsidR="00956935">
        <w:t>la caída</w:t>
      </w:r>
      <w:r w:rsidR="008D6591">
        <w:t xml:space="preserve"> de la recaudación</w:t>
      </w:r>
      <w:r w:rsidR="00956935">
        <w:t xml:space="preserve"> </w:t>
      </w:r>
      <w:r w:rsidR="008D6591">
        <w:t>mencion</w:t>
      </w:r>
      <w:r w:rsidR="008D6591">
        <w:t>a</w:t>
      </w:r>
      <w:r w:rsidR="008D6591">
        <w:t>da.</w:t>
      </w:r>
      <w:r w:rsidRPr="00374848">
        <w:t xml:space="preserve"> </w:t>
      </w: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 </w:t>
      </w:r>
      <w:r w:rsidR="0051571D">
        <w:rPr>
          <w:rFonts w:ascii="Arial" w:hAnsi="Arial" w:cs="Arial"/>
          <w:b/>
          <w:bCs/>
          <w:sz w:val="16"/>
          <w:szCs w:val="16"/>
        </w:rPr>
        <w:t>Noviembre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C74F91">
        <w:rPr>
          <w:rFonts w:ascii="Arial" w:hAnsi="Arial" w:cs="Arial"/>
          <w:b/>
          <w:bCs/>
          <w:sz w:val="16"/>
          <w:szCs w:val="16"/>
        </w:rPr>
        <w:t xml:space="preserve"> de 2020</w:t>
      </w:r>
    </w:p>
    <w:sectPr w:rsidR="0071517C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115015"/>
    <w:rsid w:val="00131A13"/>
    <w:rsid w:val="001507E7"/>
    <w:rsid w:val="00157018"/>
    <w:rsid w:val="001868A2"/>
    <w:rsid w:val="00196548"/>
    <w:rsid w:val="001D0551"/>
    <w:rsid w:val="001F277E"/>
    <w:rsid w:val="0020726D"/>
    <w:rsid w:val="002206F7"/>
    <w:rsid w:val="002353FD"/>
    <w:rsid w:val="00235655"/>
    <w:rsid w:val="002358AF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74848"/>
    <w:rsid w:val="0038163B"/>
    <w:rsid w:val="003A7C1A"/>
    <w:rsid w:val="003C38F6"/>
    <w:rsid w:val="003E5211"/>
    <w:rsid w:val="003F41E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5042FB"/>
    <w:rsid w:val="00510214"/>
    <w:rsid w:val="005131C3"/>
    <w:rsid w:val="00513DC0"/>
    <w:rsid w:val="0051571D"/>
    <w:rsid w:val="00550B19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1517C"/>
    <w:rsid w:val="007709CC"/>
    <w:rsid w:val="00777692"/>
    <w:rsid w:val="007A6D4A"/>
    <w:rsid w:val="007B44C1"/>
    <w:rsid w:val="007B610B"/>
    <w:rsid w:val="007F62EE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A26398"/>
    <w:rsid w:val="00A609B2"/>
    <w:rsid w:val="00A669FC"/>
    <w:rsid w:val="00A75F92"/>
    <w:rsid w:val="00A8293C"/>
    <w:rsid w:val="00B47877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95EDE"/>
    <w:rsid w:val="00DB5294"/>
    <w:rsid w:val="00DC1A35"/>
    <w:rsid w:val="00DD02AB"/>
    <w:rsid w:val="00DF3A9A"/>
    <w:rsid w:val="00E030D2"/>
    <w:rsid w:val="00E04673"/>
    <w:rsid w:val="00E20020"/>
    <w:rsid w:val="00E27643"/>
    <w:rsid w:val="00E57611"/>
    <w:rsid w:val="00E94D82"/>
    <w:rsid w:val="00EC6200"/>
    <w:rsid w:val="00EE3CFB"/>
    <w:rsid w:val="00F15979"/>
    <w:rsid w:val="00F15C14"/>
    <w:rsid w:val="00F27470"/>
    <w:rsid w:val="00F9306C"/>
    <w:rsid w:val="00FA09BA"/>
    <w:rsid w:val="00FC4CE0"/>
    <w:rsid w:val="00FC62A7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99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2020-11-11T14:38:00Z</cp:lastPrinted>
  <dcterms:created xsi:type="dcterms:W3CDTF">2020-11-11T14:39:00Z</dcterms:created>
  <dcterms:modified xsi:type="dcterms:W3CDTF">2020-11-11T14:39:00Z</dcterms:modified>
</cp:coreProperties>
</file>