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both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d)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>
      <w:pPr>
        <w:jc w:val="center"/>
        <w:rPr>
          <w:b/>
          <w:lang w:val="es-MX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20</w:t>
      </w:r>
      <w:r>
        <w:rPr>
          <w:b/>
          <w:lang w:val="es-MX"/>
        </w:rPr>
        <w:t xml:space="preserve">                                                  Trimestre: </w:t>
      </w:r>
      <w:r>
        <w:rPr>
          <w:b/>
          <w:lang w:val="es-AR"/>
        </w:rPr>
        <w:t>TERCERO</w:t>
      </w:r>
    </w:p>
    <w:p>
      <w:pPr>
        <w:rPr>
          <w:lang w:val="es-MX"/>
        </w:rPr>
      </w:pPr>
    </w:p>
    <w:p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Información Artículo  27 Ley 7.314 y 5° inc d) Acuerdo 3949 y su modifc. 4.559 – Desvíos: 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No resultan considerables los desvíos respecto de la programación efectuada.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La evaluación de la aplicación del gasto, se ajusta al movimiento económico financiero. En equilibrio, se limita el gasto de Capital a la estricta necesidad.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La recaudación acompaña una programación razonable dado el momento en que se estimó (año fiscal en curso).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Es dable mencionar que este Ministerio Público Fiscal, cuenta con Recursos Afectados que por Resolución 115/2020 del Ministerio de Hacienda y Finanzas, no pasan a formar parte de Rentas Generales, sino que son de aplicación propia.</w:t>
      </w:r>
    </w:p>
    <w:p>
      <w:pPr>
        <w:spacing w:line="360" w:lineRule="auto"/>
        <w:jc w:val="both"/>
        <w:rPr>
          <w:lang w:val="es-AR"/>
        </w:rPr>
      </w:pPr>
      <w:bookmarkStart w:id="0" w:name="_GoBack"/>
      <w:bookmarkEnd w:id="0"/>
    </w:p>
    <w:p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Noviembre</w:t>
      </w:r>
      <w:r>
        <w:rPr>
          <w:rFonts w:ascii="Arial" w:hAnsi="Arial" w:cs="Arial"/>
          <w:b/>
          <w:bCs/>
          <w:sz w:val="16"/>
          <w:szCs w:val="16"/>
        </w:rPr>
        <w:t xml:space="preserve"> 2020.</w:t>
      </w:r>
      <w:r>
        <w:rPr>
          <w:lang w:val="es-MX"/>
        </w:rPr>
        <w:t xml:space="preserve"> </w:t>
      </w:r>
    </w:p>
    <w:p>
      <w:pPr>
        <w:rPr>
          <w:lang w:val="es-MX"/>
        </w:rPr>
      </w:pPr>
    </w:p>
    <w:p>
      <w:pPr>
        <w:spacing w:line="276" w:lineRule="auto"/>
        <w:jc w:val="both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mirrorMargins w:val="1"/>
  <w:documentProtection w:enforcement="0"/>
  <w:defaultTabStop w:val="708"/>
  <w:autoHyphenation/>
  <w:hyphenationZone w:val="425"/>
  <w:evenAndOddHeaders w:val="1"/>
  <w:drawingGridHorizontalSpacing w:val="237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2789C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F630BCF"/>
    <w:rsid w:val="1A990204"/>
    <w:rsid w:val="55C551DA"/>
    <w:rsid w:val="678B1ACA"/>
    <w:rsid w:val="69BB3593"/>
    <w:rsid w:val="7052789C"/>
    <w:rsid w:val="74252D60"/>
    <w:rsid w:val="7B8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72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2020-08-13T15:35:00Z</dcterms:created>
  <dc:creator>Sonia Colobini</dc:creator>
  <cp:lastModifiedBy>Sonia Colobini</cp:lastModifiedBy>
  <dcterms:modified xsi:type="dcterms:W3CDTF">2020-11-12T13:11:20Z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2058-10.2.0.7516</vt:lpwstr>
  </property>
</Properties>
</file>