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FB5368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20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8A5780" w:rsidRDefault="008A5780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</w:t>
      </w:r>
      <w:r w:rsidR="00806A4F">
        <w:rPr>
          <w:rFonts w:ascii="Verdana" w:hAnsi="Verdana"/>
          <w:sz w:val="22"/>
          <w:szCs w:val="22"/>
          <w:u w:val="single"/>
        </w:rPr>
        <w:t xml:space="preserve">LOS </w:t>
      </w:r>
      <w:r w:rsidRPr="00753476">
        <w:rPr>
          <w:rFonts w:ascii="Verdana" w:hAnsi="Verdana"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</w:t>
      </w:r>
      <w:proofErr w:type="spellStart"/>
      <w:r w:rsidR="00346CA3">
        <w:rPr>
          <w:rFonts w:ascii="Verdana" w:hAnsi="Verdana"/>
        </w:rPr>
        <w:t>CJ</w:t>
      </w:r>
      <w:r w:rsidR="007F30EE">
        <w:rPr>
          <w:rFonts w:ascii="Verdana" w:hAnsi="Verdana"/>
        </w:rPr>
        <w:t>u</w:t>
      </w:r>
      <w:r w:rsidR="00346CA3">
        <w:rPr>
          <w:rFonts w:ascii="Verdana" w:hAnsi="Verdana"/>
        </w:rPr>
        <w:t>O</w:t>
      </w:r>
      <w:proofErr w:type="spellEnd"/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C45C6" w:rsidRPr="00FE7D70" w:rsidRDefault="009C42E6" w:rsidP="00FC45C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C31F96">
        <w:rPr>
          <w:rFonts w:ascii="Verdana" w:hAnsi="Verdana"/>
          <w:color w:val="000000"/>
        </w:rPr>
        <w:t xml:space="preserve">En este trimestre </w:t>
      </w:r>
      <w:r w:rsidR="00FC45C6">
        <w:rPr>
          <w:rFonts w:ascii="Verdana" w:hAnsi="Verdana"/>
          <w:color w:val="000000"/>
        </w:rPr>
        <w:t>s</w:t>
      </w:r>
      <w:r w:rsidR="00FC45C6" w:rsidRPr="005B2F5B">
        <w:rPr>
          <w:rFonts w:ascii="Verdana" w:hAnsi="Verdana"/>
          <w:color w:val="000000"/>
        </w:rPr>
        <w:t>e ejecutaron en un importe menor a lo programado como consecuencia de economías presupuestarias logradas en la ejecución del Presupuesto 20</w:t>
      </w:r>
      <w:r w:rsidR="00FC45C6">
        <w:rPr>
          <w:rFonts w:ascii="Verdana" w:hAnsi="Verdana"/>
          <w:color w:val="000000"/>
        </w:rPr>
        <w:t>20</w:t>
      </w:r>
      <w:r w:rsidR="00FC45C6" w:rsidRPr="005B2F5B">
        <w:rPr>
          <w:rFonts w:ascii="Verdana" w:hAnsi="Verdana"/>
          <w:color w:val="000000"/>
        </w:rPr>
        <w:t xml:space="preserve">, </w:t>
      </w:r>
      <w:r w:rsidR="00FC45C6">
        <w:rPr>
          <w:rFonts w:ascii="Verdana" w:hAnsi="Verdana"/>
          <w:color w:val="000000"/>
        </w:rPr>
        <w:t xml:space="preserve">ya que se </w:t>
      </w:r>
      <w:r w:rsidR="00FC45C6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FC45C6">
        <w:rPr>
          <w:rFonts w:ascii="Verdana" w:hAnsi="Verdana"/>
          <w:color w:val="000000"/>
        </w:rPr>
        <w:t xml:space="preserve">tanto  en </w:t>
      </w:r>
      <w:r w:rsidR="00FC45C6" w:rsidRPr="005B2F5B">
        <w:rPr>
          <w:rFonts w:ascii="Verdana" w:hAnsi="Verdana"/>
          <w:color w:val="000000"/>
        </w:rPr>
        <w:t xml:space="preserve">gastos de personal, adicionales, optimización </w:t>
      </w:r>
      <w:r w:rsidR="008A5780">
        <w:rPr>
          <w:rFonts w:ascii="Verdana" w:hAnsi="Verdana"/>
          <w:color w:val="000000"/>
        </w:rPr>
        <w:t xml:space="preserve">y disminución </w:t>
      </w:r>
      <w:r w:rsidR="00FC45C6">
        <w:rPr>
          <w:rFonts w:ascii="Verdana" w:hAnsi="Verdana"/>
          <w:color w:val="000000"/>
        </w:rPr>
        <w:t>en</w:t>
      </w:r>
      <w:r w:rsidR="00FC45C6" w:rsidRPr="005B2F5B">
        <w:rPr>
          <w:rFonts w:ascii="Verdana" w:hAnsi="Verdana"/>
          <w:color w:val="000000"/>
        </w:rPr>
        <w:t xml:space="preserve"> las compras</w:t>
      </w:r>
      <w:r w:rsidR="008A5780">
        <w:rPr>
          <w:rFonts w:ascii="Verdana" w:hAnsi="Verdana"/>
          <w:color w:val="000000"/>
        </w:rPr>
        <w:t xml:space="preserve"> </w:t>
      </w:r>
      <w:r w:rsidR="00FC45C6" w:rsidRPr="005B2F5B">
        <w:rPr>
          <w:rFonts w:ascii="Verdana" w:hAnsi="Verdana"/>
          <w:color w:val="000000"/>
        </w:rPr>
        <w:t xml:space="preserve"> y servicios</w:t>
      </w:r>
      <w:r w:rsidR="008A5780">
        <w:rPr>
          <w:rFonts w:ascii="Verdana" w:hAnsi="Verdana"/>
          <w:color w:val="000000"/>
        </w:rPr>
        <w:t xml:space="preserve"> por efecto </w:t>
      </w:r>
      <w:r w:rsidR="00121DD0">
        <w:rPr>
          <w:rFonts w:ascii="Verdana" w:hAnsi="Verdana"/>
          <w:color w:val="000000"/>
        </w:rPr>
        <w:t xml:space="preserve">de la Pandemia </w:t>
      </w:r>
      <w:r w:rsidR="008A5780">
        <w:rPr>
          <w:rFonts w:ascii="Verdana" w:hAnsi="Verdana"/>
          <w:color w:val="000000"/>
        </w:rPr>
        <w:t>COVID</w:t>
      </w:r>
      <w:r w:rsidR="00121DD0">
        <w:rPr>
          <w:rFonts w:ascii="Verdana" w:hAnsi="Verdana"/>
          <w:color w:val="000000"/>
        </w:rPr>
        <w:t>-19</w:t>
      </w:r>
      <w:r w:rsidR="008A5780">
        <w:rPr>
          <w:rFonts w:ascii="Verdana" w:hAnsi="Verdana"/>
          <w:color w:val="000000"/>
        </w:rPr>
        <w:t xml:space="preserve"> como por ejemplo reducción en el servicio de limpieza y menos insumos. Se ha priorizado el  teletrabajo</w:t>
      </w:r>
      <w:r w:rsidR="00FC45C6">
        <w:rPr>
          <w:rFonts w:ascii="Verdana" w:hAnsi="Verdana"/>
          <w:color w:val="000000"/>
        </w:rPr>
        <w:t xml:space="preserve">. 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Se ejecutaron en el CUC 26 correspondiente a la DAABO </w:t>
      </w:r>
      <w:r w:rsidR="008A5780">
        <w:rPr>
          <w:rFonts w:ascii="Verdana" w:hAnsi="Verdana"/>
        </w:rPr>
        <w:t>“</w:t>
      </w:r>
      <w:r w:rsidRPr="008A5780">
        <w:rPr>
          <w:rFonts w:ascii="Verdana" w:hAnsi="Verdana"/>
          <w:b/>
        </w:rPr>
        <w:t>Recupero de Créditos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FB5368">
        <w:rPr>
          <w:rFonts w:ascii="Verdana" w:hAnsi="Verdana"/>
        </w:rPr>
        <w:t>633.490,73</w:t>
      </w:r>
      <w:r w:rsidRPr="00B33656">
        <w:rPr>
          <w:rFonts w:ascii="Verdana" w:hAnsi="Verdana"/>
        </w:rPr>
        <w:t xml:space="preserve"> (Pesos </w:t>
      </w:r>
      <w:r w:rsidR="00FB5368">
        <w:rPr>
          <w:rFonts w:ascii="Verdana" w:hAnsi="Verdana"/>
        </w:rPr>
        <w:t xml:space="preserve">seiscientos treinta y tres </w:t>
      </w:r>
      <w:r w:rsidR="00D46E92">
        <w:rPr>
          <w:rFonts w:ascii="Verdana" w:hAnsi="Verdana"/>
        </w:rPr>
        <w:t xml:space="preserve">mil </w:t>
      </w:r>
      <w:r w:rsidR="00FB5368">
        <w:rPr>
          <w:rFonts w:ascii="Verdana" w:hAnsi="Verdana"/>
        </w:rPr>
        <w:t xml:space="preserve">cuatrocientos noventa </w:t>
      </w:r>
      <w:r w:rsidR="009B3F26" w:rsidRPr="00B33656">
        <w:rPr>
          <w:rFonts w:ascii="Verdana" w:hAnsi="Verdana"/>
        </w:rPr>
        <w:t xml:space="preserve">con </w:t>
      </w:r>
      <w:r w:rsidR="00030E44">
        <w:rPr>
          <w:rFonts w:ascii="Verdana" w:hAnsi="Verdana"/>
        </w:rPr>
        <w:t>73/</w:t>
      </w:r>
      <w:r w:rsidR="009B3F26" w:rsidRPr="00B33656">
        <w:rPr>
          <w:rFonts w:ascii="Verdana" w:hAnsi="Verdana"/>
        </w:rPr>
        <w:t>100</w:t>
      </w:r>
      <w:r w:rsidRPr="00B33656">
        <w:rPr>
          <w:rFonts w:ascii="Verdana" w:hAnsi="Verdana"/>
        </w:rPr>
        <w:t>),</w:t>
      </w:r>
      <w:r w:rsidR="008A5780">
        <w:rPr>
          <w:rFonts w:ascii="Verdana" w:hAnsi="Verdana"/>
        </w:rPr>
        <w:t xml:space="preserve"> </w:t>
      </w:r>
      <w:r w:rsidR="008A5780" w:rsidRPr="008A5780">
        <w:rPr>
          <w:rFonts w:ascii="Verdana" w:hAnsi="Verdana"/>
          <w:b/>
        </w:rPr>
        <w:t>“</w:t>
      </w:r>
      <w:r w:rsidRPr="008A5780">
        <w:rPr>
          <w:rFonts w:ascii="Verdana" w:hAnsi="Verdana"/>
          <w:b/>
        </w:rPr>
        <w:t xml:space="preserve"> Ventas de Activos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D46E92">
        <w:rPr>
          <w:rFonts w:ascii="Verdana" w:hAnsi="Verdana"/>
        </w:rPr>
        <w:t>10.472</w:t>
      </w:r>
      <w:r w:rsidR="00C644B6">
        <w:rPr>
          <w:rFonts w:ascii="Verdana" w:hAnsi="Verdana"/>
        </w:rPr>
        <w:t>.</w:t>
      </w:r>
      <w:r w:rsidR="00D46E92">
        <w:rPr>
          <w:rFonts w:ascii="Verdana" w:hAnsi="Verdana"/>
        </w:rPr>
        <w:t>417,00</w:t>
      </w:r>
      <w:r w:rsidRPr="00B33656">
        <w:rPr>
          <w:rFonts w:ascii="Verdana" w:hAnsi="Verdana"/>
        </w:rPr>
        <w:t xml:space="preserve"> </w:t>
      </w:r>
      <w:r w:rsidR="00F762CA" w:rsidRPr="00B33656">
        <w:rPr>
          <w:rFonts w:ascii="Verdana" w:hAnsi="Verdana"/>
        </w:rPr>
        <w:t>(</w:t>
      </w:r>
      <w:r w:rsidR="00D66069">
        <w:rPr>
          <w:rFonts w:ascii="Verdana" w:hAnsi="Verdana"/>
        </w:rPr>
        <w:t>Pesos</w:t>
      </w:r>
      <w:r w:rsidR="00D72EEA">
        <w:rPr>
          <w:rFonts w:ascii="Verdana" w:hAnsi="Verdana"/>
        </w:rPr>
        <w:t xml:space="preserve"> </w:t>
      </w:r>
      <w:r w:rsidR="00D46E92">
        <w:rPr>
          <w:rFonts w:ascii="Verdana" w:hAnsi="Verdana"/>
        </w:rPr>
        <w:t xml:space="preserve">diez </w:t>
      </w:r>
      <w:r w:rsidR="00D72EEA">
        <w:rPr>
          <w:rFonts w:ascii="Verdana" w:hAnsi="Verdana"/>
        </w:rPr>
        <w:t xml:space="preserve">millones </w:t>
      </w:r>
      <w:r w:rsidR="00D46E92">
        <w:rPr>
          <w:rFonts w:ascii="Verdana" w:hAnsi="Verdana"/>
        </w:rPr>
        <w:t>cuatrocientos setenta y dos mil cuatrocientos diecisiete</w:t>
      </w:r>
      <w:r w:rsidR="005C450C">
        <w:rPr>
          <w:rFonts w:ascii="Verdana" w:hAnsi="Verdana"/>
        </w:rPr>
        <w:t xml:space="preserve"> con</w:t>
      </w:r>
      <w:r w:rsidRPr="00B33656">
        <w:rPr>
          <w:rFonts w:ascii="Verdana" w:hAnsi="Verdana"/>
        </w:rPr>
        <w:t xml:space="preserve"> </w:t>
      </w:r>
      <w:r w:rsidR="00D72EEA">
        <w:rPr>
          <w:rFonts w:ascii="Verdana" w:hAnsi="Verdana"/>
        </w:rPr>
        <w:t>0</w:t>
      </w:r>
      <w:r w:rsidR="00D46E92">
        <w:rPr>
          <w:rFonts w:ascii="Verdana" w:hAnsi="Verdana"/>
        </w:rPr>
        <w:t>0</w:t>
      </w:r>
      <w:r w:rsidRPr="00B33656">
        <w:rPr>
          <w:rFonts w:ascii="Verdana" w:hAnsi="Verdana"/>
        </w:rPr>
        <w:t>/100). Con respecto a estos recursos de la DABBO, el organismo no ha realizado la programación en el ejercicio, concluyendo con un recurso a favor.</w:t>
      </w:r>
      <w:r w:rsidR="00B33656" w:rsidRPr="00B33656">
        <w:rPr>
          <w:rFonts w:ascii="Verdana" w:hAnsi="Verdana"/>
        </w:rPr>
        <w:t xml:space="preserve"> </w:t>
      </w:r>
    </w:p>
    <w:p w:rsidR="00C644B6" w:rsidRDefault="00C644B6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Default="00B33656" w:rsidP="00551D87">
      <w:pPr>
        <w:numPr>
          <w:ilvl w:val="0"/>
          <w:numId w:val="5"/>
        </w:num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="002B624E">
        <w:rPr>
          <w:rFonts w:ascii="Verdana" w:hAnsi="Verdana"/>
          <w:color w:val="000000"/>
        </w:rPr>
        <w:t xml:space="preserve"> En </w:t>
      </w:r>
      <w:r w:rsidR="00D66069">
        <w:rPr>
          <w:rFonts w:ascii="Verdana" w:hAnsi="Verdana"/>
          <w:color w:val="000000"/>
        </w:rPr>
        <w:t>el</w:t>
      </w:r>
      <w:r w:rsidR="002B624E">
        <w:rPr>
          <w:rFonts w:ascii="Verdana" w:hAnsi="Verdana"/>
          <w:color w:val="000000"/>
        </w:rPr>
        <w:t xml:space="preserve"> trimestre este concepto se ejecutó en menor cuantía a lo programado</w:t>
      </w:r>
      <w:r w:rsidRPr="00B33656">
        <w:rPr>
          <w:rFonts w:ascii="Verdana" w:hAnsi="Verdana"/>
          <w:color w:val="000000"/>
        </w:rPr>
        <w:t>; lo ejecutado corresponde</w:t>
      </w:r>
      <w:r w:rsidR="002B624E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/>
          <w:color w:val="000000"/>
        </w:rPr>
        <w:t>a la</w:t>
      </w:r>
      <w:r w:rsidR="00D46E92">
        <w:rPr>
          <w:rFonts w:ascii="Verdana" w:hAnsi="Verdana"/>
          <w:color w:val="000000"/>
        </w:rPr>
        <w:t xml:space="preserve"> compra de Bienes de Capital (Computadora y Monitor)</w:t>
      </w:r>
      <w:r w:rsidR="00C644B6">
        <w:rPr>
          <w:rFonts w:ascii="Verdana" w:hAnsi="Verdana"/>
          <w:color w:val="000000"/>
        </w:rPr>
        <w:t xml:space="preserve"> </w:t>
      </w:r>
      <w:r w:rsidR="00806A4F">
        <w:rPr>
          <w:rFonts w:ascii="Verdana" w:hAnsi="Verdana"/>
          <w:color w:val="000000"/>
        </w:rPr>
        <w:t>a</w:t>
      </w:r>
      <w:r w:rsidR="00C644B6">
        <w:rPr>
          <w:rFonts w:ascii="Verdana" w:hAnsi="Verdana"/>
          <w:color w:val="000000"/>
        </w:rPr>
        <w:t>signada a</w:t>
      </w:r>
      <w:r w:rsidR="00D46E92">
        <w:rPr>
          <w:rFonts w:ascii="Verdana" w:hAnsi="Verdana"/>
          <w:color w:val="000000"/>
        </w:rPr>
        <w:t xml:space="preserve"> l</w:t>
      </w:r>
      <w:r w:rsidR="00FD48F0">
        <w:rPr>
          <w:rFonts w:ascii="Verdana" w:hAnsi="Verdana"/>
          <w:color w:val="000000"/>
        </w:rPr>
        <w:t>a</w:t>
      </w:r>
      <w:r w:rsidR="00D46E92">
        <w:rPr>
          <w:rFonts w:ascii="Verdana" w:hAnsi="Verdana"/>
          <w:color w:val="000000"/>
        </w:rPr>
        <w:t xml:space="preserve"> Dirección de Seguimiento y Evaluación de Presupuesto por la suma de $122.374,70</w:t>
      </w:r>
      <w:r w:rsidR="00C644B6">
        <w:rPr>
          <w:rFonts w:ascii="Verdana" w:hAnsi="Verdana"/>
          <w:color w:val="000000"/>
        </w:rPr>
        <w:t xml:space="preserve"> (ciento veintidós mil trescientos setenta y cuatro con 70/100) y de $ 11.741,85 (once mil setecientos cuarenta y uno con 85/100) corresponde  a diferencia de cotización por compra de Bienes de Capital </w:t>
      </w:r>
      <w:r w:rsidR="00806A4F">
        <w:rPr>
          <w:rFonts w:ascii="Verdana" w:hAnsi="Verdana"/>
          <w:color w:val="000000"/>
        </w:rPr>
        <w:t>a</w:t>
      </w:r>
      <w:r w:rsidR="00C644B6">
        <w:rPr>
          <w:rFonts w:ascii="Verdana" w:hAnsi="Verdana"/>
          <w:color w:val="000000"/>
        </w:rPr>
        <w:t xml:space="preserve"> la Contaduría General de la Provincia. </w:t>
      </w:r>
      <w:r w:rsidR="00B231EF">
        <w:rPr>
          <w:rFonts w:ascii="Verdana" w:hAnsi="Verdana"/>
          <w:color w:val="000000"/>
        </w:rPr>
        <w:t>D</w:t>
      </w:r>
      <w:r w:rsidR="0038066F">
        <w:rPr>
          <w:rFonts w:ascii="Verdana" w:hAnsi="Verdana"/>
          <w:color w:val="000000"/>
        </w:rPr>
        <w:t>esde la Dirección General de Crédito al Sector Público se transfirieron  préstamos a los Municipios</w:t>
      </w:r>
      <w:r w:rsidR="00FD48F0">
        <w:rPr>
          <w:rFonts w:ascii="Verdana" w:hAnsi="Verdana"/>
          <w:color w:val="000000"/>
        </w:rPr>
        <w:t xml:space="preserve"> por la operatoria </w:t>
      </w:r>
      <w:r w:rsidR="00FD48F0">
        <w:rPr>
          <w:rFonts w:ascii="Verdana" w:hAnsi="Verdana"/>
        </w:rPr>
        <w:t>del F.F.D.P.</w:t>
      </w:r>
      <w:r w:rsidR="00FD48F0">
        <w:rPr>
          <w:rFonts w:ascii="Verdana" w:hAnsi="Verdana"/>
        </w:rPr>
        <w:t xml:space="preserve"> a</w:t>
      </w:r>
      <w:r w:rsidR="00B231EF">
        <w:rPr>
          <w:rFonts w:ascii="Verdana" w:hAnsi="Verdana"/>
        </w:rPr>
        <w:t xml:space="preserve"> la Municipalidad de </w:t>
      </w:r>
      <w:proofErr w:type="spellStart"/>
      <w:r w:rsidR="00FD48F0">
        <w:rPr>
          <w:rFonts w:ascii="Verdana" w:hAnsi="Verdana"/>
        </w:rPr>
        <w:t>Tunuyán</w:t>
      </w:r>
      <w:proofErr w:type="spellEnd"/>
      <w:r w:rsidR="00FD48F0">
        <w:rPr>
          <w:rFonts w:ascii="Verdana" w:hAnsi="Verdana"/>
        </w:rPr>
        <w:t xml:space="preserve">, </w:t>
      </w:r>
      <w:r w:rsidR="00B231EF">
        <w:rPr>
          <w:rFonts w:ascii="Verdana" w:hAnsi="Verdana"/>
        </w:rPr>
        <w:t xml:space="preserve">Municipalidad de </w:t>
      </w:r>
      <w:r w:rsidR="00FD48F0">
        <w:rPr>
          <w:rFonts w:ascii="Verdana" w:hAnsi="Verdana"/>
        </w:rPr>
        <w:t xml:space="preserve">San Carlos y </w:t>
      </w:r>
      <w:r w:rsidR="00B231EF">
        <w:rPr>
          <w:rFonts w:ascii="Verdana" w:hAnsi="Verdana"/>
        </w:rPr>
        <w:t xml:space="preserve">Municipalidad de </w:t>
      </w:r>
      <w:r w:rsidR="00FD48F0">
        <w:rPr>
          <w:rFonts w:ascii="Verdana" w:hAnsi="Verdana"/>
        </w:rPr>
        <w:t>San Rafael</w:t>
      </w:r>
      <w:r w:rsidR="00B231EF">
        <w:rPr>
          <w:rFonts w:ascii="Verdana" w:hAnsi="Verdana"/>
        </w:rPr>
        <w:t xml:space="preserve"> por un importe total de $ 57.141.284,00 (cincuenta y siete mi</w:t>
      </w:r>
      <w:r w:rsidR="000D58C5">
        <w:rPr>
          <w:rFonts w:ascii="Verdana" w:hAnsi="Verdana"/>
        </w:rPr>
        <w:t>llones</w:t>
      </w:r>
      <w:r w:rsidR="00B231EF">
        <w:rPr>
          <w:rFonts w:ascii="Verdana" w:hAnsi="Verdana"/>
        </w:rPr>
        <w:t xml:space="preserve"> ciento cuarenta y un</w:t>
      </w:r>
      <w:r w:rsidR="000D58C5">
        <w:rPr>
          <w:rFonts w:ascii="Verdana" w:hAnsi="Verdana"/>
        </w:rPr>
        <w:t xml:space="preserve"> mil doscientos ochenta y cuatro con 00/100</w:t>
      </w:r>
      <w:r w:rsidR="00806A4F">
        <w:rPr>
          <w:rFonts w:ascii="Verdana" w:hAnsi="Verdana"/>
        </w:rPr>
        <w:t>)</w:t>
      </w:r>
      <w:r w:rsidR="0038066F">
        <w:rPr>
          <w:rFonts w:ascii="Verdana" w:hAnsi="Verdana"/>
          <w:color w:val="000000"/>
        </w:rPr>
        <w:t>.</w:t>
      </w:r>
    </w:p>
    <w:p w:rsidR="00136061" w:rsidRPr="008A578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8A5780">
        <w:rPr>
          <w:rFonts w:ascii="Verdana" w:hAnsi="Verdana"/>
        </w:rPr>
        <w:t xml:space="preserve">En </w:t>
      </w:r>
      <w:r w:rsidRPr="008A5780">
        <w:rPr>
          <w:rFonts w:ascii="Verdana" w:hAnsi="Verdana"/>
          <w:b/>
          <w:u w:val="single"/>
        </w:rPr>
        <w:t>Recursos Figurativos:</w:t>
      </w:r>
      <w:r w:rsidRPr="008A5780">
        <w:rPr>
          <w:rFonts w:ascii="Verdana" w:hAnsi="Verdana"/>
          <w:b/>
        </w:rPr>
        <w:t xml:space="preserve"> </w:t>
      </w:r>
      <w:r w:rsidR="006203E0" w:rsidRPr="008A5780">
        <w:rPr>
          <w:rFonts w:ascii="Verdana" w:hAnsi="Verdana"/>
        </w:rPr>
        <w:t>Con respecto  a este Recurso Figurativo    “</w:t>
      </w:r>
      <w:r w:rsidR="006203E0" w:rsidRPr="008A5780">
        <w:rPr>
          <w:rFonts w:ascii="Verdana" w:hAnsi="Verdana"/>
          <w:b/>
        </w:rPr>
        <w:t>Fin.176 –  Fondo Instituto de Juegos y Casinos para programas de Salud”</w:t>
      </w:r>
      <w:r w:rsidR="006203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6203E0" w:rsidRPr="008A5780">
        <w:rPr>
          <w:rFonts w:ascii="Verdana" w:hAnsi="Verdana"/>
        </w:rPr>
        <w:t>Notti</w:t>
      </w:r>
      <w:proofErr w:type="spellEnd"/>
      <w:r w:rsidR="006203E0" w:rsidRPr="008A5780">
        <w:rPr>
          <w:rFonts w:ascii="Verdana" w:hAnsi="Verdana"/>
        </w:rPr>
        <w:t>, quien ejecutará el gasto real con este financiamiento. El ingreso del Recurso  debe analizarse a nivel global en la Administración.</w:t>
      </w:r>
      <w:r w:rsidRPr="008A5780">
        <w:rPr>
          <w:rFonts w:ascii="Verdana" w:hAnsi="Verdana"/>
        </w:rPr>
        <w:t xml:space="preserve">                         </w:t>
      </w:r>
    </w:p>
    <w:p w:rsidR="00136061" w:rsidRP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22535B">
        <w:rPr>
          <w:rFonts w:ascii="Verdana" w:hAnsi="Verdana"/>
          <w:b/>
        </w:rPr>
        <w:t xml:space="preserve"> </w:t>
      </w:r>
      <w:r w:rsidR="0022535B" w:rsidRPr="0022535B">
        <w:rPr>
          <w:rFonts w:ascii="Verdana" w:hAnsi="Verdana"/>
        </w:rPr>
        <w:t>El gasto figurativo e</w:t>
      </w:r>
      <w:r w:rsidR="0022535B">
        <w:rPr>
          <w:rFonts w:ascii="Verdana" w:hAnsi="Verdana"/>
        </w:rPr>
        <w:t>s m</w:t>
      </w:r>
      <w:r w:rsidR="005C7AB5">
        <w:rPr>
          <w:rFonts w:ascii="Verdana" w:hAnsi="Verdana"/>
        </w:rPr>
        <w:t>ayor</w:t>
      </w:r>
      <w:r w:rsidR="0022535B">
        <w:rPr>
          <w:rFonts w:ascii="Verdana" w:hAnsi="Verdana"/>
        </w:rPr>
        <w:t xml:space="preserve"> al presupuestado</w:t>
      </w:r>
      <w:r w:rsidR="000D58C5">
        <w:rPr>
          <w:rFonts w:ascii="Verdana" w:hAnsi="Verdana"/>
        </w:rPr>
        <w:t>, no obstante el análisis de</w:t>
      </w:r>
      <w:r w:rsidR="0022535B">
        <w:rPr>
          <w:rFonts w:ascii="Verdana" w:hAnsi="Verdana"/>
        </w:rPr>
        <w:t>l presente gasto s</w:t>
      </w:r>
      <w:r w:rsidRPr="0022535B">
        <w:rPr>
          <w:rFonts w:ascii="Verdana" w:hAnsi="Verdana"/>
          <w:u w:val="single" w:color="FFFFFF" w:themeColor="background1"/>
        </w:rPr>
        <w:t>e</w:t>
      </w:r>
      <w:r w:rsidRPr="004B1B9F">
        <w:rPr>
          <w:rFonts w:ascii="Verdana" w:hAnsi="Verdana"/>
          <w:u w:val="single" w:color="FFFFFF" w:themeColor="background1"/>
        </w:rPr>
        <w:t xml:space="preserve"> </w:t>
      </w:r>
      <w:r w:rsidR="000D58C5">
        <w:rPr>
          <w:rFonts w:ascii="Verdana" w:hAnsi="Verdana"/>
          <w:u w:val="single" w:color="FFFFFF" w:themeColor="background1"/>
        </w:rPr>
        <w:t>realiza</w:t>
      </w:r>
      <w:r>
        <w:rPr>
          <w:rFonts w:ascii="Verdana" w:hAnsi="Verdana"/>
          <w:u w:val="single" w:color="FFFFFF" w:themeColor="background1"/>
        </w:rPr>
        <w:t xml:space="preserve">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EC5C9A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F762C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 ingreso de la fuente de financiamiento</w:t>
      </w:r>
      <w:r w:rsidR="000D58C5">
        <w:rPr>
          <w:rFonts w:ascii="Verdana" w:hAnsi="Verdana"/>
        </w:rPr>
        <w:t xml:space="preserve"> respecto a lo programado</w:t>
      </w:r>
      <w:r>
        <w:rPr>
          <w:rFonts w:ascii="Verdana" w:hAnsi="Verdana"/>
        </w:rPr>
        <w:t xml:space="preserve"> debe analizarse a nivel glo</w:t>
      </w:r>
      <w:r w:rsidR="000D58C5">
        <w:rPr>
          <w:rFonts w:ascii="Verdana" w:hAnsi="Verdana"/>
        </w:rPr>
        <w:t>bal en la Administración Centra, v</w:t>
      </w:r>
      <w:r w:rsidR="0022535B">
        <w:rPr>
          <w:rFonts w:ascii="Verdana" w:hAnsi="Verdana"/>
        </w:rPr>
        <w:t xml:space="preserve">isualizando en este trimestre un monto </w:t>
      </w:r>
      <w:r w:rsidR="00222C37">
        <w:rPr>
          <w:rFonts w:ascii="Verdana" w:hAnsi="Verdana"/>
        </w:rPr>
        <w:t>$</w:t>
      </w:r>
      <w:r w:rsidR="00D66069">
        <w:rPr>
          <w:rFonts w:ascii="Verdana" w:hAnsi="Verdana"/>
        </w:rPr>
        <w:t>331.419.823,16</w:t>
      </w:r>
      <w:r w:rsidR="000D58C5">
        <w:rPr>
          <w:rFonts w:ascii="Verdana" w:hAnsi="Verdana"/>
        </w:rPr>
        <w:t>. C</w:t>
      </w:r>
      <w:r w:rsidR="00824F44">
        <w:rPr>
          <w:rFonts w:ascii="Verdana" w:hAnsi="Verdana"/>
        </w:rPr>
        <w:t>on respecto a</w:t>
      </w:r>
      <w:r w:rsidR="00824F44" w:rsidRPr="00824F44">
        <w:rPr>
          <w:rFonts w:ascii="Verdana" w:hAnsi="Verdana"/>
        </w:rPr>
        <w:t xml:space="preserve"> </w:t>
      </w:r>
      <w:r w:rsidR="00824F44">
        <w:rPr>
          <w:rFonts w:ascii="Verdana" w:hAnsi="Verdana"/>
        </w:rPr>
        <w:t>lo ejecutado  de  $ 2.012.747.303,67</w:t>
      </w:r>
      <w:r w:rsidR="000D58C5">
        <w:rPr>
          <w:rFonts w:ascii="Verdana" w:hAnsi="Verdana"/>
        </w:rPr>
        <w:t xml:space="preserve"> </w:t>
      </w:r>
      <w:r w:rsidR="00806A4F">
        <w:rPr>
          <w:rFonts w:ascii="Verdana" w:hAnsi="Verdana"/>
        </w:rPr>
        <w:t>(</w:t>
      </w:r>
      <w:r w:rsidR="000D58C5">
        <w:rPr>
          <w:rFonts w:ascii="Verdana" w:hAnsi="Verdana"/>
        </w:rPr>
        <w:t>dos mil doce millones setecientos cuarenta y siete mil trescientos tres con 67/100)</w:t>
      </w:r>
      <w:r w:rsidR="00824F44">
        <w:rPr>
          <w:rFonts w:ascii="Verdana" w:hAnsi="Verdana"/>
        </w:rPr>
        <w:t xml:space="preserve"> corresponde a</w:t>
      </w:r>
      <w:r w:rsidR="00824F44">
        <w:rPr>
          <w:rFonts w:ascii="Verdana" w:hAnsi="Verdana"/>
        </w:rPr>
        <w:t>: 1)</w:t>
      </w:r>
      <w:r w:rsidR="00824F44">
        <w:rPr>
          <w:rFonts w:ascii="Verdana" w:hAnsi="Verdana"/>
        </w:rPr>
        <w:t xml:space="preserve"> </w:t>
      </w:r>
      <w:r w:rsidR="00824F44">
        <w:rPr>
          <w:rFonts w:ascii="Verdana" w:hAnsi="Verdana"/>
        </w:rPr>
        <w:t>I</w:t>
      </w:r>
      <w:r w:rsidR="00824F44">
        <w:rPr>
          <w:rFonts w:ascii="Verdana" w:hAnsi="Verdana"/>
        </w:rPr>
        <w:t>ntereses capitalizados</w:t>
      </w:r>
      <w:r w:rsidR="00824F44">
        <w:rPr>
          <w:rFonts w:ascii="Verdana" w:hAnsi="Verdana"/>
        </w:rPr>
        <w:t xml:space="preserve"> de $1.298.184,11</w:t>
      </w:r>
      <w:r w:rsidR="00824F44">
        <w:rPr>
          <w:rFonts w:ascii="Verdana" w:hAnsi="Verdana"/>
        </w:rPr>
        <w:t xml:space="preserve"> </w:t>
      </w:r>
      <w:r w:rsidR="00011F9A">
        <w:rPr>
          <w:rFonts w:ascii="Verdana" w:hAnsi="Verdana"/>
        </w:rPr>
        <w:t xml:space="preserve">(un millón doscientos noventa y ocho mil ciento ochenta y cuatro con 11/100) </w:t>
      </w:r>
      <w:r w:rsidR="00824F44">
        <w:rPr>
          <w:rFonts w:ascii="Verdana" w:hAnsi="Verdana"/>
        </w:rPr>
        <w:t xml:space="preserve">por </w:t>
      </w:r>
      <w:r w:rsidR="00824F44">
        <w:rPr>
          <w:rFonts w:ascii="Verdana" w:hAnsi="Verdana"/>
        </w:rPr>
        <w:t>dos préstamos recibidos en el 2020</w:t>
      </w:r>
      <w:r w:rsidR="00824F44">
        <w:rPr>
          <w:rFonts w:ascii="Verdana" w:hAnsi="Verdana"/>
        </w:rPr>
        <w:t xml:space="preserve"> del F.F.D.P. </w:t>
      </w:r>
      <w:proofErr w:type="spellStart"/>
      <w:r w:rsidR="00824F44">
        <w:rPr>
          <w:rFonts w:ascii="Verdana" w:hAnsi="Verdana"/>
        </w:rPr>
        <w:t>Prog</w:t>
      </w:r>
      <w:proofErr w:type="spellEnd"/>
      <w:r w:rsidR="00824F44">
        <w:rPr>
          <w:rFonts w:ascii="Verdana" w:hAnsi="Verdana"/>
        </w:rPr>
        <w:t xml:space="preserve">. p/Emergencia Financiera </w:t>
      </w:r>
      <w:proofErr w:type="spellStart"/>
      <w:r w:rsidR="00824F44">
        <w:rPr>
          <w:rFonts w:ascii="Verdana" w:hAnsi="Verdana"/>
        </w:rPr>
        <w:t>Pcial</w:t>
      </w:r>
      <w:proofErr w:type="spellEnd"/>
      <w:r w:rsidR="00824F44">
        <w:rPr>
          <w:rFonts w:ascii="Verdana" w:hAnsi="Verdana"/>
        </w:rPr>
        <w:t xml:space="preserve"> – </w:t>
      </w:r>
      <w:proofErr w:type="spellStart"/>
      <w:r w:rsidR="00824F44">
        <w:rPr>
          <w:rFonts w:ascii="Verdana" w:hAnsi="Verdana"/>
        </w:rPr>
        <w:t>Dto</w:t>
      </w:r>
      <w:proofErr w:type="spellEnd"/>
      <w:r w:rsidR="00824F44">
        <w:rPr>
          <w:rFonts w:ascii="Verdana" w:hAnsi="Verdana"/>
        </w:rPr>
        <w:t xml:space="preserve"> </w:t>
      </w:r>
      <w:r w:rsidR="00824F44">
        <w:rPr>
          <w:rFonts w:ascii="Verdana" w:hAnsi="Verdana"/>
        </w:rPr>
        <w:t>836</w:t>
      </w:r>
      <w:r w:rsidR="00824F44">
        <w:rPr>
          <w:rFonts w:ascii="Verdana" w:hAnsi="Verdana"/>
        </w:rPr>
        <w:t>/</w:t>
      </w:r>
      <w:r w:rsidR="00824F44">
        <w:rPr>
          <w:rFonts w:ascii="Verdana" w:hAnsi="Verdana"/>
        </w:rPr>
        <w:t>20; 2) Intereses Capitalizado</w:t>
      </w:r>
      <w:r w:rsidR="00011F9A">
        <w:rPr>
          <w:rFonts w:ascii="Verdana" w:hAnsi="Verdana"/>
        </w:rPr>
        <w:t>s</w:t>
      </w:r>
      <w:r w:rsidR="00824F44">
        <w:rPr>
          <w:rFonts w:ascii="Verdana" w:hAnsi="Verdana"/>
        </w:rPr>
        <w:t xml:space="preserve"> de $105.148.444,00</w:t>
      </w:r>
      <w:r w:rsidR="00011F9A">
        <w:rPr>
          <w:rFonts w:ascii="Verdana" w:hAnsi="Verdana"/>
        </w:rPr>
        <w:t xml:space="preserve"> ( ciento cinco millones ciento cuarenta y ocho mil con 00/100) </w:t>
      </w:r>
      <w:r w:rsidR="00824F44">
        <w:rPr>
          <w:rFonts w:ascii="Verdana" w:hAnsi="Verdana"/>
        </w:rPr>
        <w:t xml:space="preserve"> por préstamos con ANSES Ley 8873 y </w:t>
      </w:r>
    </w:p>
    <w:p w:rsidR="00B33656" w:rsidRDefault="00824F44" w:rsidP="00EC5C9A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3) Intereses Capitalizados de $ 1.906.300.675,56</w:t>
      </w:r>
      <w:r w:rsidR="00011F9A">
        <w:rPr>
          <w:rFonts w:ascii="Verdana" w:hAnsi="Verdana"/>
        </w:rPr>
        <w:t xml:space="preserve"> (un mil novecientos seis millones trescientos mil seiscientos setenta y cinco con 56/100</w:t>
      </w:r>
      <w:r>
        <w:rPr>
          <w:rFonts w:ascii="Verdana" w:hAnsi="Verdana"/>
        </w:rPr>
        <w:t xml:space="preserve"> por </w:t>
      </w:r>
      <w:r>
        <w:rPr>
          <w:rFonts w:ascii="Verdana" w:hAnsi="Verdana"/>
        </w:rPr>
        <w:t xml:space="preserve">la refinanciación del </w:t>
      </w:r>
      <w:r>
        <w:rPr>
          <w:rFonts w:ascii="Verdana" w:hAnsi="Verdana"/>
        </w:rPr>
        <w:t xml:space="preserve">préstamo </w:t>
      </w:r>
      <w:r w:rsidR="00EC5C9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con </w:t>
      </w:r>
      <w:r>
        <w:rPr>
          <w:rFonts w:ascii="Verdana" w:hAnsi="Verdana"/>
        </w:rPr>
        <w:t xml:space="preserve">F.F.D.P. Asistencia Financiera – </w:t>
      </w:r>
      <w:proofErr w:type="spellStart"/>
      <w:r>
        <w:rPr>
          <w:rFonts w:ascii="Verdana" w:hAnsi="Verdana"/>
        </w:rPr>
        <w:t>Dto</w:t>
      </w:r>
      <w:proofErr w:type="spellEnd"/>
      <w:r>
        <w:rPr>
          <w:rFonts w:ascii="Verdana" w:hAnsi="Verdana"/>
        </w:rPr>
        <w:t xml:space="preserve"> 2256/19</w:t>
      </w:r>
      <w:r w:rsidR="008B2A6C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011F9A">
        <w:rPr>
          <w:rFonts w:ascii="Verdana" w:hAnsi="Verdana"/>
        </w:rPr>
        <w:t xml:space="preserve">Información que surge del CUC 020 </w:t>
      </w:r>
      <w:r w:rsidRPr="001A1BBE">
        <w:rPr>
          <w:rFonts w:ascii="Verdana" w:hAnsi="Verdana"/>
        </w:rPr>
        <w:t xml:space="preserve"> </w:t>
      </w:r>
      <w:r w:rsidR="00011F9A">
        <w:rPr>
          <w:rFonts w:ascii="Verdana" w:hAnsi="Verdana"/>
          <w:color w:val="000000"/>
        </w:rPr>
        <w:t>Dirección General de Crédito al Sector Público</w:t>
      </w:r>
      <w:r w:rsidR="00011F9A">
        <w:rPr>
          <w:rFonts w:ascii="Verdana" w:hAnsi="Verdana"/>
          <w:color w:val="000000"/>
        </w:rPr>
        <w:t xml:space="preserve"> monto no incluido en la programación.</w:t>
      </w:r>
      <w:r w:rsidRPr="001A1BBE">
        <w:rPr>
          <w:rFonts w:ascii="Verdana" w:hAnsi="Verdana"/>
        </w:rPr>
        <w:t xml:space="preserve">                 </w:t>
      </w: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En las </w:t>
      </w:r>
      <w:r w:rsidR="00B33656" w:rsidRPr="00B33656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33656">
        <w:rPr>
          <w:rFonts w:ascii="Verdana" w:hAnsi="Verdana"/>
          <w:color w:val="000000"/>
        </w:rPr>
        <w:t xml:space="preserve">   </w:t>
      </w:r>
      <w:r w:rsidR="000E3ADB" w:rsidRPr="004C079F">
        <w:rPr>
          <w:rFonts w:ascii="Verdana" w:hAnsi="Verdana"/>
          <w:color w:val="000000"/>
        </w:rPr>
        <w:t>Se observa una ejecución m</w:t>
      </w:r>
      <w:r w:rsidR="000E3ADB">
        <w:rPr>
          <w:rFonts w:ascii="Verdana" w:hAnsi="Verdana"/>
          <w:color w:val="000000"/>
        </w:rPr>
        <w:t>enor</w:t>
      </w:r>
      <w:r w:rsidR="000E3ADB" w:rsidRPr="004C079F">
        <w:rPr>
          <w:rFonts w:ascii="Verdana" w:hAnsi="Verdana"/>
          <w:color w:val="000000"/>
        </w:rPr>
        <w:t xml:space="preserve"> a lo programad</w:t>
      </w:r>
      <w:r w:rsidR="000E3ADB">
        <w:rPr>
          <w:rFonts w:ascii="Verdana" w:hAnsi="Verdana"/>
          <w:color w:val="000000"/>
        </w:rPr>
        <w:t xml:space="preserve">a, correspondiente </w:t>
      </w:r>
      <w:r w:rsidR="000E3ADB" w:rsidRPr="004C079F">
        <w:rPr>
          <w:rFonts w:ascii="Verdana" w:hAnsi="Verdana"/>
          <w:color w:val="000000"/>
        </w:rPr>
        <w:t>a</w:t>
      </w:r>
      <w:r w:rsidR="000E3ADB">
        <w:rPr>
          <w:rFonts w:ascii="Verdana" w:hAnsi="Verdana"/>
          <w:color w:val="000000"/>
        </w:rPr>
        <w:t xml:space="preserve"> </w:t>
      </w:r>
      <w:r w:rsidR="000E3ADB" w:rsidRPr="004C079F">
        <w:rPr>
          <w:rFonts w:ascii="Verdana" w:hAnsi="Verdana"/>
          <w:color w:val="000000"/>
        </w:rPr>
        <w:t>l</w:t>
      </w:r>
      <w:r w:rsidR="000E3ADB">
        <w:rPr>
          <w:rFonts w:ascii="Verdana" w:hAnsi="Verdana"/>
          <w:color w:val="000000"/>
        </w:rPr>
        <w:t>os</w:t>
      </w:r>
      <w:r w:rsidR="000E3ADB" w:rsidRPr="004C079F">
        <w:rPr>
          <w:rFonts w:ascii="Verdana" w:hAnsi="Verdana"/>
          <w:color w:val="000000"/>
        </w:rPr>
        <w:t xml:space="preserve"> devengado</w:t>
      </w:r>
      <w:r w:rsidR="000E3ADB">
        <w:rPr>
          <w:rFonts w:ascii="Verdana" w:hAnsi="Verdana"/>
          <w:color w:val="000000"/>
        </w:rPr>
        <w:t>s</w:t>
      </w:r>
      <w:r w:rsidR="000E3ADB" w:rsidRPr="004C079F">
        <w:rPr>
          <w:rFonts w:ascii="Verdana" w:hAnsi="Verdana"/>
          <w:color w:val="000000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 de la deuda flotante del Ejercicio anterior</w:t>
      </w:r>
      <w:r w:rsidR="00806A4F">
        <w:rPr>
          <w:rFonts w:ascii="Verdana" w:hAnsi="Verdana"/>
          <w:color w:val="000000"/>
        </w:rPr>
        <w:t>,</w:t>
      </w:r>
      <w:r w:rsidR="00B33656" w:rsidRPr="00B33656">
        <w:rPr>
          <w:rFonts w:ascii="Verdana" w:hAnsi="Verdana"/>
          <w:color w:val="000000"/>
        </w:rPr>
        <w:t xml:space="preserve"> de las partidas Amortización Deuda Residuos Pasivos (74101) y Amortización Deuda Acreedores Varios (74102)</w:t>
      </w:r>
      <w:r w:rsidR="00806A4F">
        <w:rPr>
          <w:rFonts w:ascii="Verdana" w:hAnsi="Verdana"/>
          <w:color w:val="000000"/>
        </w:rPr>
        <w:t>, l</w:t>
      </w:r>
      <w:r w:rsidR="00011F9A">
        <w:rPr>
          <w:rFonts w:ascii="Verdana" w:hAnsi="Verdana"/>
          <w:color w:val="000000"/>
        </w:rPr>
        <w:t>os que tuvieron un</w:t>
      </w:r>
      <w:r w:rsidR="00B33656" w:rsidRPr="00B33656">
        <w:rPr>
          <w:rFonts w:ascii="Verdana" w:hAnsi="Verdana"/>
          <w:color w:val="000000"/>
        </w:rPr>
        <w:t xml:space="preserve"> mayor impacto en el 1er Trimestre del 2020</w:t>
      </w:r>
      <w:r w:rsidR="00EA33A9">
        <w:rPr>
          <w:rFonts w:ascii="Verdana" w:hAnsi="Verdana"/>
          <w:color w:val="000000"/>
        </w:rPr>
        <w:t>.</w:t>
      </w:r>
      <w:r w:rsidR="00011F9A">
        <w:rPr>
          <w:rFonts w:ascii="Verdana" w:hAnsi="Verdana"/>
          <w:color w:val="000000"/>
        </w:rPr>
        <w:t xml:space="preserve"> Otro elemento a considerar es la capitalización de los inter</w:t>
      </w:r>
      <w:r w:rsidR="00806A4F">
        <w:rPr>
          <w:rFonts w:ascii="Verdana" w:hAnsi="Verdana"/>
          <w:color w:val="000000"/>
        </w:rPr>
        <w:t>e</w:t>
      </w:r>
      <w:bookmarkStart w:id="0" w:name="_GoBack"/>
      <w:bookmarkEnd w:id="0"/>
      <w:r w:rsidR="00011F9A">
        <w:rPr>
          <w:rFonts w:ascii="Verdana" w:hAnsi="Verdana"/>
          <w:color w:val="000000"/>
        </w:rPr>
        <w:t>s</w:t>
      </w:r>
      <w:r w:rsidR="00806A4F">
        <w:rPr>
          <w:rFonts w:ascii="Verdana" w:hAnsi="Verdana"/>
          <w:color w:val="000000"/>
        </w:rPr>
        <w:t>es</w:t>
      </w:r>
      <w:r w:rsidR="00011F9A">
        <w:rPr>
          <w:rFonts w:ascii="Verdana" w:hAnsi="Verdana"/>
          <w:color w:val="000000"/>
        </w:rPr>
        <w:t xml:space="preserve"> de los </w:t>
      </w:r>
      <w:proofErr w:type="gramStart"/>
      <w:r w:rsidR="00011F9A">
        <w:rPr>
          <w:rFonts w:ascii="Verdana" w:hAnsi="Verdana"/>
          <w:color w:val="000000"/>
        </w:rPr>
        <w:t>prestamos</w:t>
      </w:r>
      <w:proofErr w:type="gramEnd"/>
      <w:r w:rsidR="00011F9A">
        <w:rPr>
          <w:rFonts w:ascii="Verdana" w:hAnsi="Verdana"/>
          <w:color w:val="000000"/>
        </w:rPr>
        <w:t xml:space="preserve"> recibidos.</w:t>
      </w:r>
    </w:p>
    <w:sectPr w:rsidR="00B33656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1B" w:rsidRDefault="00570F1B" w:rsidP="00022F60">
      <w:r>
        <w:separator/>
      </w:r>
    </w:p>
  </w:endnote>
  <w:endnote w:type="continuationSeparator" w:id="0">
    <w:p w:rsidR="00570F1B" w:rsidRDefault="00570F1B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1B" w:rsidRDefault="00570F1B" w:rsidP="00022F60">
      <w:r>
        <w:separator/>
      </w:r>
    </w:p>
  </w:footnote>
  <w:footnote w:type="continuationSeparator" w:id="0">
    <w:p w:rsidR="00570F1B" w:rsidRDefault="00570F1B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570F1B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1F9A"/>
    <w:rsid w:val="00014113"/>
    <w:rsid w:val="00022F60"/>
    <w:rsid w:val="00024C05"/>
    <w:rsid w:val="00025534"/>
    <w:rsid w:val="00030BCF"/>
    <w:rsid w:val="00030E44"/>
    <w:rsid w:val="00033145"/>
    <w:rsid w:val="00053410"/>
    <w:rsid w:val="00057AE5"/>
    <w:rsid w:val="000606CC"/>
    <w:rsid w:val="00061517"/>
    <w:rsid w:val="00067998"/>
    <w:rsid w:val="00091097"/>
    <w:rsid w:val="00094A9C"/>
    <w:rsid w:val="000A011B"/>
    <w:rsid w:val="000A1E98"/>
    <w:rsid w:val="000A395B"/>
    <w:rsid w:val="000A68B5"/>
    <w:rsid w:val="000D1439"/>
    <w:rsid w:val="000D58C5"/>
    <w:rsid w:val="000E0F7C"/>
    <w:rsid w:val="000E1067"/>
    <w:rsid w:val="000E1162"/>
    <w:rsid w:val="000E3ADB"/>
    <w:rsid w:val="000E7665"/>
    <w:rsid w:val="000F78FA"/>
    <w:rsid w:val="00103D20"/>
    <w:rsid w:val="00110190"/>
    <w:rsid w:val="001140D6"/>
    <w:rsid w:val="001147AB"/>
    <w:rsid w:val="00116727"/>
    <w:rsid w:val="0012022F"/>
    <w:rsid w:val="00121DD0"/>
    <w:rsid w:val="00122384"/>
    <w:rsid w:val="001334F9"/>
    <w:rsid w:val="00133C83"/>
    <w:rsid w:val="00134C71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22C37"/>
    <w:rsid w:val="0022535B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B624E"/>
    <w:rsid w:val="002B79D2"/>
    <w:rsid w:val="002C1B5C"/>
    <w:rsid w:val="002C21B3"/>
    <w:rsid w:val="002C5FB3"/>
    <w:rsid w:val="002D267D"/>
    <w:rsid w:val="002D32DD"/>
    <w:rsid w:val="002F1816"/>
    <w:rsid w:val="002F1C7C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1B01"/>
    <w:rsid w:val="0037323C"/>
    <w:rsid w:val="00373E68"/>
    <w:rsid w:val="0038066F"/>
    <w:rsid w:val="00387697"/>
    <w:rsid w:val="003879C9"/>
    <w:rsid w:val="00395FDE"/>
    <w:rsid w:val="003A7D26"/>
    <w:rsid w:val="003B0116"/>
    <w:rsid w:val="003B31EB"/>
    <w:rsid w:val="003B653A"/>
    <w:rsid w:val="003C237D"/>
    <w:rsid w:val="003C71E2"/>
    <w:rsid w:val="003E793B"/>
    <w:rsid w:val="003F34DC"/>
    <w:rsid w:val="00401344"/>
    <w:rsid w:val="0040331B"/>
    <w:rsid w:val="00404ACD"/>
    <w:rsid w:val="004065C1"/>
    <w:rsid w:val="00407F29"/>
    <w:rsid w:val="00411B56"/>
    <w:rsid w:val="00413433"/>
    <w:rsid w:val="00416155"/>
    <w:rsid w:val="00416A8C"/>
    <w:rsid w:val="0042084D"/>
    <w:rsid w:val="004225E1"/>
    <w:rsid w:val="00424043"/>
    <w:rsid w:val="0043204A"/>
    <w:rsid w:val="00440DA3"/>
    <w:rsid w:val="004477EF"/>
    <w:rsid w:val="0045422C"/>
    <w:rsid w:val="00465436"/>
    <w:rsid w:val="004756B8"/>
    <w:rsid w:val="004768B6"/>
    <w:rsid w:val="00484B5F"/>
    <w:rsid w:val="004850ED"/>
    <w:rsid w:val="00487680"/>
    <w:rsid w:val="00493D56"/>
    <w:rsid w:val="0049666A"/>
    <w:rsid w:val="004A1F87"/>
    <w:rsid w:val="004B711A"/>
    <w:rsid w:val="004C208B"/>
    <w:rsid w:val="004C4999"/>
    <w:rsid w:val="004C5EB5"/>
    <w:rsid w:val="004C6BAA"/>
    <w:rsid w:val="004D13BA"/>
    <w:rsid w:val="004D317C"/>
    <w:rsid w:val="004E76E4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0F1B"/>
    <w:rsid w:val="005718F6"/>
    <w:rsid w:val="00573574"/>
    <w:rsid w:val="005911DB"/>
    <w:rsid w:val="005A37E7"/>
    <w:rsid w:val="005A649B"/>
    <w:rsid w:val="005B2F5B"/>
    <w:rsid w:val="005B3CAF"/>
    <w:rsid w:val="005B7007"/>
    <w:rsid w:val="005C1812"/>
    <w:rsid w:val="005C450C"/>
    <w:rsid w:val="005C7AB5"/>
    <w:rsid w:val="005D0868"/>
    <w:rsid w:val="005D13DC"/>
    <w:rsid w:val="005D5978"/>
    <w:rsid w:val="005D73F5"/>
    <w:rsid w:val="005E1DBB"/>
    <w:rsid w:val="005F01D3"/>
    <w:rsid w:val="005F07CF"/>
    <w:rsid w:val="005F6AF1"/>
    <w:rsid w:val="00606D2B"/>
    <w:rsid w:val="00614107"/>
    <w:rsid w:val="00617939"/>
    <w:rsid w:val="006203E0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A5CDB"/>
    <w:rsid w:val="006B26B4"/>
    <w:rsid w:val="006B604F"/>
    <w:rsid w:val="006C1C68"/>
    <w:rsid w:val="006C2959"/>
    <w:rsid w:val="006C46EF"/>
    <w:rsid w:val="006D0ECF"/>
    <w:rsid w:val="006D5DE1"/>
    <w:rsid w:val="006E3768"/>
    <w:rsid w:val="006E487B"/>
    <w:rsid w:val="006F006A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148B"/>
    <w:rsid w:val="007F30EE"/>
    <w:rsid w:val="007F6962"/>
    <w:rsid w:val="00806A4F"/>
    <w:rsid w:val="008119B5"/>
    <w:rsid w:val="00814544"/>
    <w:rsid w:val="00824F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A5780"/>
    <w:rsid w:val="008B2A6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559D3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B6110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15FE8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1D8A"/>
    <w:rsid w:val="00AD284A"/>
    <w:rsid w:val="00AD4114"/>
    <w:rsid w:val="00AD624D"/>
    <w:rsid w:val="00AE038F"/>
    <w:rsid w:val="00AE155D"/>
    <w:rsid w:val="00AF6330"/>
    <w:rsid w:val="00B038CA"/>
    <w:rsid w:val="00B231EF"/>
    <w:rsid w:val="00B2430F"/>
    <w:rsid w:val="00B2641B"/>
    <w:rsid w:val="00B33656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44B6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46E92"/>
    <w:rsid w:val="00D50327"/>
    <w:rsid w:val="00D56151"/>
    <w:rsid w:val="00D564F0"/>
    <w:rsid w:val="00D66069"/>
    <w:rsid w:val="00D72EEA"/>
    <w:rsid w:val="00D761BD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271CA"/>
    <w:rsid w:val="00E43639"/>
    <w:rsid w:val="00E437CD"/>
    <w:rsid w:val="00E43859"/>
    <w:rsid w:val="00E46E73"/>
    <w:rsid w:val="00E5612B"/>
    <w:rsid w:val="00E62A5C"/>
    <w:rsid w:val="00E66548"/>
    <w:rsid w:val="00E72D40"/>
    <w:rsid w:val="00E75FD5"/>
    <w:rsid w:val="00EA33A9"/>
    <w:rsid w:val="00EB08AA"/>
    <w:rsid w:val="00EC238E"/>
    <w:rsid w:val="00EC5C9A"/>
    <w:rsid w:val="00ED186E"/>
    <w:rsid w:val="00ED716D"/>
    <w:rsid w:val="00EE5522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3DE7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B5368"/>
    <w:rsid w:val="00FC45C6"/>
    <w:rsid w:val="00FC4ECB"/>
    <w:rsid w:val="00FD48F0"/>
    <w:rsid w:val="00FD7BCD"/>
    <w:rsid w:val="00FE5712"/>
    <w:rsid w:val="00FE739A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3F57E-FD76-497B-8FDE-82C6C74D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4386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2021-02-11T16:13:00Z</cp:lastPrinted>
  <dcterms:created xsi:type="dcterms:W3CDTF">2021-02-11T17:15:00Z</dcterms:created>
  <dcterms:modified xsi:type="dcterms:W3CDTF">2021-02-11T17:15:00Z</dcterms:modified>
</cp:coreProperties>
</file>