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493D21">
        <w:rPr>
          <w:b/>
          <w:sz w:val="24"/>
          <w:szCs w:val="24"/>
        </w:rPr>
        <w:t>1</w:t>
      </w:r>
      <w:r w:rsidR="00221A64" w:rsidRPr="00395BDA">
        <w:rPr>
          <w:b/>
          <w:sz w:val="24"/>
          <w:szCs w:val="24"/>
        </w:rPr>
        <w:t>º) trimestre de 2.0</w:t>
      </w:r>
      <w:r w:rsidR="00493D21">
        <w:rPr>
          <w:b/>
          <w:sz w:val="24"/>
          <w:szCs w:val="24"/>
        </w:rPr>
        <w:t>21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8C7D35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2602D1">
        <w:rPr>
          <w:color w:val="000000"/>
          <w:sz w:val="24"/>
          <w:szCs w:val="24"/>
        </w:rPr>
        <w:t>2</w:t>
      </w:r>
      <w:r w:rsidR="00C1600C">
        <w:rPr>
          <w:color w:val="000000"/>
          <w:sz w:val="24"/>
          <w:szCs w:val="24"/>
        </w:rPr>
        <w:t>78</w:t>
      </w:r>
      <w:r>
        <w:rPr>
          <w:color w:val="000000"/>
          <w:sz w:val="24"/>
          <w:szCs w:val="24"/>
        </w:rPr>
        <w:t>/20</w:t>
      </w:r>
      <w:r w:rsidR="002602D1">
        <w:rPr>
          <w:color w:val="000000"/>
          <w:sz w:val="24"/>
          <w:szCs w:val="24"/>
        </w:rPr>
        <w:t>2</w:t>
      </w:r>
      <w:r w:rsidR="00C1600C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</w:t>
      </w:r>
      <w:r w:rsidR="00AA6C48">
        <w:rPr>
          <w:color w:val="000000"/>
          <w:sz w:val="24"/>
          <w:szCs w:val="24"/>
        </w:rPr>
        <w:t>1</w:t>
      </w:r>
      <w:r w:rsidR="002B560F">
        <w:rPr>
          <w:color w:val="000000"/>
          <w:sz w:val="24"/>
          <w:szCs w:val="24"/>
        </w:rPr>
        <w:t>.</w:t>
      </w:r>
      <w:r w:rsidR="00AA6C48">
        <w:rPr>
          <w:color w:val="000000"/>
          <w:sz w:val="24"/>
          <w:szCs w:val="24"/>
        </w:rPr>
        <w:t>66</w:t>
      </w:r>
      <w:r w:rsidR="00A50B6B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.</w:t>
      </w:r>
      <w:r w:rsidR="00AA6C48">
        <w:rPr>
          <w:color w:val="000000"/>
          <w:sz w:val="24"/>
          <w:szCs w:val="24"/>
        </w:rPr>
        <w:t>777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AA6C48">
        <w:rPr>
          <w:color w:val="000000"/>
          <w:sz w:val="24"/>
          <w:szCs w:val="24"/>
        </w:rPr>
        <w:t>49</w:t>
      </w:r>
      <w:r w:rsidR="00C42766">
        <w:rPr>
          <w:color w:val="000000"/>
          <w:sz w:val="24"/>
          <w:szCs w:val="24"/>
        </w:rPr>
        <w:t>8</w:t>
      </w:r>
      <w:r w:rsidR="00874A84">
        <w:rPr>
          <w:color w:val="000000"/>
          <w:sz w:val="24"/>
          <w:szCs w:val="24"/>
        </w:rPr>
        <w:t>.</w:t>
      </w:r>
      <w:r w:rsidR="00AA6C48">
        <w:rPr>
          <w:color w:val="000000"/>
          <w:sz w:val="24"/>
          <w:szCs w:val="24"/>
        </w:rPr>
        <w:t>84</w:t>
      </w:r>
      <w:r w:rsidR="00C42766"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 w:rsidR="00AA6C48">
        <w:rPr>
          <w:color w:val="000000"/>
          <w:sz w:val="24"/>
          <w:szCs w:val="24"/>
        </w:rPr>
        <w:t>8</w:t>
      </w:r>
      <w:r w:rsidR="00C42766">
        <w:rPr>
          <w:color w:val="000000"/>
          <w:sz w:val="24"/>
          <w:szCs w:val="24"/>
        </w:rPr>
        <w:t>6</w:t>
      </w:r>
      <w:r w:rsidR="00AA6C48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AA6C48">
        <w:rPr>
          <w:color w:val="000000"/>
          <w:sz w:val="24"/>
          <w:szCs w:val="24"/>
        </w:rPr>
        <w:t>464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8</w:t>
      </w:r>
      <w:r w:rsidR="00AA6C48">
        <w:rPr>
          <w:color w:val="000000"/>
          <w:sz w:val="24"/>
          <w:szCs w:val="24"/>
        </w:rPr>
        <w:t>64</w:t>
      </w:r>
      <w:r w:rsidR="00C42766">
        <w:rPr>
          <w:color w:val="000000"/>
          <w:sz w:val="24"/>
          <w:szCs w:val="24"/>
        </w:rPr>
        <w:t>.000</w:t>
      </w:r>
      <w:r w:rsidRPr="001E538C">
        <w:rPr>
          <w:color w:val="000000"/>
          <w:sz w:val="24"/>
          <w:szCs w:val="24"/>
        </w:rPr>
        <w:t>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24</w:t>
      </w:r>
      <w:r w:rsidR="00AA6C48">
        <w:rPr>
          <w:color w:val="000000"/>
          <w:sz w:val="24"/>
          <w:szCs w:val="24"/>
        </w:rPr>
        <w:t>6</w:t>
      </w:r>
      <w:r w:rsidRPr="001E538C">
        <w:rPr>
          <w:color w:val="000000"/>
          <w:sz w:val="24"/>
          <w:szCs w:val="24"/>
        </w:rPr>
        <w:t>.</w:t>
      </w:r>
      <w:r w:rsidR="00AA6C48">
        <w:rPr>
          <w:color w:val="000000"/>
          <w:sz w:val="24"/>
          <w:szCs w:val="24"/>
        </w:rPr>
        <w:t>327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618</w:t>
      </w:r>
      <w:r w:rsidR="00C97855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1.000.00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 w:rsidR="00874A84">
        <w:rPr>
          <w:sz w:val="24"/>
          <w:szCs w:val="24"/>
        </w:rPr>
        <w:t>1</w:t>
      </w:r>
      <w:r w:rsidR="00C42766">
        <w:rPr>
          <w:sz w:val="24"/>
          <w:szCs w:val="24"/>
        </w:rPr>
        <w:t>9</w:t>
      </w:r>
      <w:r w:rsidRPr="001A182B">
        <w:rPr>
          <w:sz w:val="24"/>
          <w:szCs w:val="24"/>
        </w:rPr>
        <w:t>.</w:t>
      </w:r>
      <w:r w:rsidR="00AA6C48">
        <w:rPr>
          <w:sz w:val="24"/>
          <w:szCs w:val="24"/>
        </w:rPr>
        <w:t>7</w:t>
      </w:r>
      <w:r w:rsidR="00C42766">
        <w:rPr>
          <w:sz w:val="24"/>
          <w:szCs w:val="24"/>
        </w:rPr>
        <w:t>5</w:t>
      </w:r>
      <w:r w:rsidR="00AA6C48">
        <w:rPr>
          <w:sz w:val="24"/>
          <w:szCs w:val="24"/>
        </w:rPr>
        <w:t>7</w:t>
      </w:r>
      <w:r w:rsidR="00C97855">
        <w:rPr>
          <w:sz w:val="24"/>
          <w:szCs w:val="24"/>
        </w:rPr>
        <w:t>.</w:t>
      </w:r>
      <w:r w:rsidR="00AA6C48">
        <w:rPr>
          <w:sz w:val="24"/>
          <w:szCs w:val="24"/>
        </w:rPr>
        <w:t>544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p w:rsidR="00702C2F" w:rsidRDefault="00702C2F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72"/>
        <w:gridCol w:w="758"/>
        <w:gridCol w:w="1573"/>
        <w:gridCol w:w="1027"/>
        <w:gridCol w:w="1393"/>
        <w:gridCol w:w="1539"/>
        <w:gridCol w:w="1453"/>
      </w:tblGrid>
      <w:tr w:rsidR="001D572A" w:rsidTr="001D572A">
        <w:trPr>
          <w:trHeight w:val="315"/>
        </w:trPr>
        <w:tc>
          <w:tcPr>
            <w:tcW w:w="5922" w:type="dxa"/>
            <w:gridSpan w:val="5"/>
            <w:noWrap/>
            <w:vAlign w:val="bottom"/>
            <w:hideMark/>
          </w:tcPr>
          <w:p w:rsidR="00702C2F" w:rsidRPr="00232BCE" w:rsidRDefault="00702C2F" w:rsidP="00702C2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</w:t>
            </w:r>
            <w:r w:rsidR="00BF7DC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2</w:t>
            </w:r>
            <w:r w:rsidR="005A39C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1</w:t>
            </w:r>
          </w:p>
          <w:p w:rsidR="00702C2F" w:rsidRPr="00232BCE" w:rsidRDefault="00702C2F" w:rsidP="00FC6640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E23978" w:rsidTr="001D572A">
        <w:trPr>
          <w:trHeight w:val="315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660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77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660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.7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77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AA6C4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498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840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74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037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24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803,0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46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AA6C4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550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319.4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64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AA6C4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864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24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327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Pr="001F489A" w:rsidRDefault="00702C2F" w:rsidP="001F489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AA6C4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AA6C4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246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327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136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AA6C4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18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136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100.00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544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AA6C48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24.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AA6C4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933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507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AA6C48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En cuanto a la reducciones de las partidas por reservas en, Bienes Corrientes 41201 00, Servicios Corrientes 41301, que realizó el Ministerio de hacienda de la Provincia, lo que  </w:t>
      </w:r>
      <w:r>
        <w:rPr>
          <w:sz w:val="24"/>
          <w:szCs w:val="24"/>
        </w:rPr>
        <w:lastRenderedPageBreak/>
        <w:t>disminuyó las partidas en función del devengado a setiembre  del 20</w:t>
      </w:r>
      <w:r w:rsidR="00530F37">
        <w:rPr>
          <w:sz w:val="24"/>
          <w:szCs w:val="24"/>
        </w:rPr>
        <w:t>20, el presupuesto solo fue incrementado en un 4 % , pesos Setecientos un mil quinientos sesenta y ocho $ 701.568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Estas partidas son insuficientes para atender los compromisos del presente ejercicio, no se ha modificado al finalizar el primer trimestre. En función de los aumentos de Servicios  y de  los gastos fijos contratados por esta Inspección.</w:t>
      </w:r>
      <w:r w:rsidR="001D572A">
        <w:rPr>
          <w:sz w:val="24"/>
          <w:szCs w:val="24"/>
        </w:rPr>
        <w:t xml:space="preserve"> Cabe aclarar que se com</w:t>
      </w:r>
      <w:r w:rsidR="00530F37">
        <w:rPr>
          <w:sz w:val="24"/>
          <w:szCs w:val="24"/>
        </w:rPr>
        <w:t>enzó con un ritmo del gasto insuficiente para las necesidades básicas de funcionamiento</w:t>
      </w:r>
      <w:r w:rsidR="001D572A">
        <w:rPr>
          <w:sz w:val="24"/>
          <w:szCs w:val="24"/>
        </w:rPr>
        <w:t>, lo que produ</w:t>
      </w:r>
      <w:r w:rsidR="00E23978">
        <w:rPr>
          <w:sz w:val="24"/>
          <w:szCs w:val="24"/>
        </w:rPr>
        <w:t>z</w:t>
      </w:r>
      <w:r w:rsidR="001D572A">
        <w:rPr>
          <w:sz w:val="24"/>
          <w:szCs w:val="24"/>
        </w:rPr>
        <w:t>co un fuerte déficit en las partidas del presupuesto, para es</w:t>
      </w:r>
      <w:r w:rsidR="00530F37">
        <w:rPr>
          <w:sz w:val="24"/>
          <w:szCs w:val="24"/>
        </w:rPr>
        <w:t xml:space="preserve">te primer trimestre </w:t>
      </w:r>
      <w:r w:rsidR="00E23978">
        <w:rPr>
          <w:sz w:val="24"/>
          <w:szCs w:val="24"/>
        </w:rPr>
        <w:t>y luego la pandemia ha generado un deterioro en los créditos</w:t>
      </w:r>
      <w:r w:rsidR="001D572A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</w:t>
      </w:r>
      <w:r w:rsidR="001D572A">
        <w:rPr>
          <w:sz w:val="24"/>
          <w:szCs w:val="24"/>
        </w:rPr>
        <w:t xml:space="preserve">ningún aumento de los que pueda otorgar </w:t>
      </w:r>
      <w:r>
        <w:rPr>
          <w:sz w:val="24"/>
          <w:szCs w:val="24"/>
        </w:rPr>
        <w:t xml:space="preserve"> el Poder Ejecutivo. Se ha solicitado Personal al Ministerio de Seguridad</w:t>
      </w:r>
      <w:r w:rsidR="001D572A">
        <w:rPr>
          <w:sz w:val="24"/>
          <w:szCs w:val="24"/>
        </w:rPr>
        <w:t>, dado que se producen bajas de personal por jubilación, quedando cada vez menos personal</w:t>
      </w:r>
      <w:r>
        <w:rPr>
          <w:sz w:val="24"/>
          <w:szCs w:val="24"/>
        </w:rPr>
        <w:t xml:space="preserve">.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602D1" w:rsidRDefault="00702C2F" w:rsidP="00702C2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23248C">
        <w:rPr>
          <w:sz w:val="24"/>
          <w:szCs w:val="24"/>
        </w:rPr>
        <w:t>173</w:t>
      </w:r>
      <w:r w:rsidR="00530F37">
        <w:rPr>
          <w:sz w:val="24"/>
          <w:szCs w:val="24"/>
        </w:rPr>
        <w:t>5</w:t>
      </w:r>
      <w:r w:rsidR="009400BA">
        <w:rPr>
          <w:sz w:val="24"/>
          <w:szCs w:val="24"/>
        </w:rPr>
        <w:t>/20</w:t>
      </w:r>
      <w:r w:rsidR="00530F37">
        <w:rPr>
          <w:sz w:val="24"/>
          <w:szCs w:val="24"/>
        </w:rPr>
        <w:t>20</w:t>
      </w:r>
      <w:r>
        <w:rPr>
          <w:sz w:val="24"/>
          <w:szCs w:val="24"/>
        </w:rPr>
        <w:t xml:space="preserve"> prorroga por los meses de </w:t>
      </w:r>
      <w:r w:rsidR="002602D1">
        <w:rPr>
          <w:sz w:val="24"/>
          <w:szCs w:val="24"/>
        </w:rPr>
        <w:t>enero a marzo</w:t>
      </w:r>
      <w:r w:rsidR="009400BA">
        <w:rPr>
          <w:sz w:val="24"/>
          <w:szCs w:val="24"/>
        </w:rPr>
        <w:t xml:space="preserve"> </w:t>
      </w:r>
      <w:r>
        <w:rPr>
          <w:sz w:val="24"/>
          <w:szCs w:val="24"/>
        </w:rPr>
        <w:t>de 20</w:t>
      </w:r>
      <w:r w:rsidR="002602D1">
        <w:rPr>
          <w:sz w:val="24"/>
          <w:szCs w:val="24"/>
        </w:rPr>
        <w:t>2</w:t>
      </w:r>
      <w:r w:rsidR="00530F37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880FDC">
        <w:rPr>
          <w:sz w:val="24"/>
          <w:szCs w:val="24"/>
        </w:rPr>
        <w:t xml:space="preserve"> en función de las partidas que autoriza el Ministerio de hacienda</w:t>
      </w:r>
      <w:r w:rsidR="002602D1"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continua con los pasantes de la Universidad Nacional de Cuyo, Facultad de Derecho no se han realizado nuevos convenios debido a las restricciones del Decreto </w:t>
      </w:r>
      <w:r w:rsidR="00530F37">
        <w:rPr>
          <w:sz w:val="24"/>
          <w:szCs w:val="24"/>
        </w:rPr>
        <w:t>150</w:t>
      </w:r>
      <w:r w:rsidR="00BC57A4">
        <w:rPr>
          <w:sz w:val="24"/>
          <w:szCs w:val="24"/>
        </w:rPr>
        <w:t>/</w:t>
      </w:r>
      <w:r>
        <w:rPr>
          <w:sz w:val="24"/>
          <w:szCs w:val="24"/>
        </w:rPr>
        <w:t>20</w:t>
      </w:r>
      <w:r w:rsidR="00530F37">
        <w:rPr>
          <w:sz w:val="24"/>
          <w:szCs w:val="24"/>
        </w:rPr>
        <w:t>21</w:t>
      </w:r>
      <w:r>
        <w:rPr>
          <w:sz w:val="24"/>
          <w:szCs w:val="24"/>
        </w:rPr>
        <w:t xml:space="preserve"> para que los pasantes de la Facultad de Derecho.</w:t>
      </w:r>
    </w:p>
    <w:p w:rsidR="000942ED" w:rsidRDefault="000942ED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FF27BE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restringieron las compras de Bienes de Capital Decreto 31</w:t>
      </w:r>
      <w:r w:rsidR="00BC57A4">
        <w:rPr>
          <w:sz w:val="24"/>
          <w:szCs w:val="24"/>
        </w:rPr>
        <w:t>02</w:t>
      </w:r>
      <w:r>
        <w:rPr>
          <w:sz w:val="24"/>
          <w:szCs w:val="24"/>
        </w:rPr>
        <w:t xml:space="preserve"> del </w:t>
      </w:r>
      <w:r w:rsidR="00BC57A4">
        <w:rPr>
          <w:sz w:val="24"/>
          <w:szCs w:val="24"/>
        </w:rPr>
        <w:t>3</w:t>
      </w:r>
      <w:r>
        <w:rPr>
          <w:sz w:val="24"/>
          <w:szCs w:val="24"/>
        </w:rPr>
        <w:t>0/12/201</w:t>
      </w:r>
      <w:r w:rsidR="00BC57A4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702C2F"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renovación de </w:t>
      </w:r>
      <w:proofErr w:type="gramStart"/>
      <w:r w:rsidR="00702C2F">
        <w:rPr>
          <w:sz w:val="24"/>
          <w:szCs w:val="24"/>
        </w:rPr>
        <w:t>los</w:t>
      </w:r>
      <w:proofErr w:type="gramEnd"/>
      <w:r w:rsidR="00702C2F">
        <w:rPr>
          <w:sz w:val="24"/>
          <w:szCs w:val="24"/>
        </w:rPr>
        <w:t xml:space="preserve"> movilidades. se restringieron las compras de Bienes de Capital.-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Pr="00F27ECA" w:rsidRDefault="00702C2F" w:rsidP="00702C2F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>
        <w:rPr>
          <w:sz w:val="24"/>
          <w:szCs w:val="24"/>
        </w:rPr>
        <w:t>2</w:t>
      </w:r>
      <w:r w:rsidR="00765B8D">
        <w:rPr>
          <w:sz w:val="24"/>
          <w:szCs w:val="24"/>
        </w:rPr>
        <w:t>6</w:t>
      </w:r>
      <w:r w:rsidRPr="006C253A">
        <w:rPr>
          <w:sz w:val="24"/>
          <w:szCs w:val="24"/>
        </w:rPr>
        <w:t xml:space="preserve"> de </w:t>
      </w:r>
      <w:r w:rsidR="00BC57A4">
        <w:rPr>
          <w:sz w:val="24"/>
          <w:szCs w:val="24"/>
        </w:rPr>
        <w:t>mayo</w:t>
      </w:r>
      <w:r>
        <w:rPr>
          <w:sz w:val="24"/>
          <w:szCs w:val="24"/>
        </w:rPr>
        <w:t xml:space="preserve">  de 20</w:t>
      </w:r>
      <w:r w:rsidR="00BC57A4">
        <w:rPr>
          <w:sz w:val="24"/>
          <w:szCs w:val="24"/>
        </w:rPr>
        <w:t>2</w:t>
      </w:r>
      <w:r w:rsidR="00765B8D">
        <w:rPr>
          <w:sz w:val="24"/>
          <w:szCs w:val="24"/>
        </w:rPr>
        <w:t>1</w:t>
      </w:r>
      <w:r>
        <w:rPr>
          <w:sz w:val="24"/>
          <w:szCs w:val="24"/>
        </w:rPr>
        <w:t>.</w:t>
      </w:r>
      <w:bookmarkEnd w:id="0"/>
    </w:p>
    <w:sectPr w:rsidR="00702C2F" w:rsidRPr="00F27ECA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41F74"/>
    <w:rsid w:val="000467AE"/>
    <w:rsid w:val="00057B5A"/>
    <w:rsid w:val="00066D68"/>
    <w:rsid w:val="00093186"/>
    <w:rsid w:val="000942ED"/>
    <w:rsid w:val="000A098A"/>
    <w:rsid w:val="000D527D"/>
    <w:rsid w:val="000E1CC2"/>
    <w:rsid w:val="000F128E"/>
    <w:rsid w:val="00111BF9"/>
    <w:rsid w:val="00113762"/>
    <w:rsid w:val="00114615"/>
    <w:rsid w:val="00126560"/>
    <w:rsid w:val="00136165"/>
    <w:rsid w:val="001565E4"/>
    <w:rsid w:val="00163CCD"/>
    <w:rsid w:val="001703BA"/>
    <w:rsid w:val="00195D1D"/>
    <w:rsid w:val="00195DDF"/>
    <w:rsid w:val="001A182B"/>
    <w:rsid w:val="001C0F01"/>
    <w:rsid w:val="001D270C"/>
    <w:rsid w:val="001D48CD"/>
    <w:rsid w:val="001D572A"/>
    <w:rsid w:val="001F1BC9"/>
    <w:rsid w:val="001F489A"/>
    <w:rsid w:val="00210512"/>
    <w:rsid w:val="00212DF3"/>
    <w:rsid w:val="002163ED"/>
    <w:rsid w:val="00221A64"/>
    <w:rsid w:val="0023248C"/>
    <w:rsid w:val="00251625"/>
    <w:rsid w:val="00251BA4"/>
    <w:rsid w:val="00257154"/>
    <w:rsid w:val="002602D1"/>
    <w:rsid w:val="002B560F"/>
    <w:rsid w:val="002C43FB"/>
    <w:rsid w:val="002D6648"/>
    <w:rsid w:val="002D6B85"/>
    <w:rsid w:val="002F695D"/>
    <w:rsid w:val="0030443B"/>
    <w:rsid w:val="0032384B"/>
    <w:rsid w:val="00326449"/>
    <w:rsid w:val="00347B30"/>
    <w:rsid w:val="00350C0A"/>
    <w:rsid w:val="003773C9"/>
    <w:rsid w:val="003828F3"/>
    <w:rsid w:val="00393A62"/>
    <w:rsid w:val="003A73BC"/>
    <w:rsid w:val="003A7830"/>
    <w:rsid w:val="003E292F"/>
    <w:rsid w:val="003E33E8"/>
    <w:rsid w:val="003E6DE3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3D21"/>
    <w:rsid w:val="004944DA"/>
    <w:rsid w:val="00495102"/>
    <w:rsid w:val="004B47D4"/>
    <w:rsid w:val="004B621C"/>
    <w:rsid w:val="004C388C"/>
    <w:rsid w:val="00505DF2"/>
    <w:rsid w:val="00516B23"/>
    <w:rsid w:val="005241E3"/>
    <w:rsid w:val="005268B6"/>
    <w:rsid w:val="00530F37"/>
    <w:rsid w:val="005413B1"/>
    <w:rsid w:val="00543C16"/>
    <w:rsid w:val="00577D0B"/>
    <w:rsid w:val="00585E99"/>
    <w:rsid w:val="00595281"/>
    <w:rsid w:val="00597ED8"/>
    <w:rsid w:val="005A39CB"/>
    <w:rsid w:val="005B52BF"/>
    <w:rsid w:val="005D0EE6"/>
    <w:rsid w:val="005E3AF5"/>
    <w:rsid w:val="006217E0"/>
    <w:rsid w:val="00626FF9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130"/>
    <w:rsid w:val="006D34FC"/>
    <w:rsid w:val="00702C2F"/>
    <w:rsid w:val="00707581"/>
    <w:rsid w:val="007131F9"/>
    <w:rsid w:val="007139E9"/>
    <w:rsid w:val="007446AF"/>
    <w:rsid w:val="00765B8D"/>
    <w:rsid w:val="00770F23"/>
    <w:rsid w:val="007C5CFE"/>
    <w:rsid w:val="00805B44"/>
    <w:rsid w:val="0080767C"/>
    <w:rsid w:val="00810D8A"/>
    <w:rsid w:val="008146E8"/>
    <w:rsid w:val="00815965"/>
    <w:rsid w:val="00823D59"/>
    <w:rsid w:val="00830704"/>
    <w:rsid w:val="00836189"/>
    <w:rsid w:val="00874A84"/>
    <w:rsid w:val="00880FDC"/>
    <w:rsid w:val="00884C59"/>
    <w:rsid w:val="00891844"/>
    <w:rsid w:val="008A3DFB"/>
    <w:rsid w:val="008A5B58"/>
    <w:rsid w:val="008C7D35"/>
    <w:rsid w:val="008D4AAB"/>
    <w:rsid w:val="008F09F4"/>
    <w:rsid w:val="00902A8E"/>
    <w:rsid w:val="00910299"/>
    <w:rsid w:val="00924552"/>
    <w:rsid w:val="009251BE"/>
    <w:rsid w:val="009400BA"/>
    <w:rsid w:val="0094253F"/>
    <w:rsid w:val="009453F7"/>
    <w:rsid w:val="0095475F"/>
    <w:rsid w:val="00962026"/>
    <w:rsid w:val="00963E09"/>
    <w:rsid w:val="00970E9B"/>
    <w:rsid w:val="00971A68"/>
    <w:rsid w:val="009854AE"/>
    <w:rsid w:val="00987E0A"/>
    <w:rsid w:val="009A2C06"/>
    <w:rsid w:val="009C30E4"/>
    <w:rsid w:val="009D21FE"/>
    <w:rsid w:val="009D2412"/>
    <w:rsid w:val="009D4164"/>
    <w:rsid w:val="009F7579"/>
    <w:rsid w:val="00A06E6C"/>
    <w:rsid w:val="00A16022"/>
    <w:rsid w:val="00A4606B"/>
    <w:rsid w:val="00A50B6B"/>
    <w:rsid w:val="00A533AA"/>
    <w:rsid w:val="00A800CA"/>
    <w:rsid w:val="00A8208D"/>
    <w:rsid w:val="00A914D1"/>
    <w:rsid w:val="00AA6C48"/>
    <w:rsid w:val="00AD6AF8"/>
    <w:rsid w:val="00AF0442"/>
    <w:rsid w:val="00B044BA"/>
    <w:rsid w:val="00B16761"/>
    <w:rsid w:val="00B42448"/>
    <w:rsid w:val="00B651B8"/>
    <w:rsid w:val="00B80919"/>
    <w:rsid w:val="00B84478"/>
    <w:rsid w:val="00B90B06"/>
    <w:rsid w:val="00BA7BF7"/>
    <w:rsid w:val="00BB68D1"/>
    <w:rsid w:val="00BC57A4"/>
    <w:rsid w:val="00BF274D"/>
    <w:rsid w:val="00BF4C5E"/>
    <w:rsid w:val="00BF7DCB"/>
    <w:rsid w:val="00C14B80"/>
    <w:rsid w:val="00C1600C"/>
    <w:rsid w:val="00C42766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42A73"/>
    <w:rsid w:val="00D51F97"/>
    <w:rsid w:val="00D55416"/>
    <w:rsid w:val="00D62C65"/>
    <w:rsid w:val="00D73A18"/>
    <w:rsid w:val="00D93633"/>
    <w:rsid w:val="00DB05BD"/>
    <w:rsid w:val="00DB0F85"/>
    <w:rsid w:val="00DD3411"/>
    <w:rsid w:val="00DD3D89"/>
    <w:rsid w:val="00E10D74"/>
    <w:rsid w:val="00E15228"/>
    <w:rsid w:val="00E23978"/>
    <w:rsid w:val="00E23E87"/>
    <w:rsid w:val="00E30DFA"/>
    <w:rsid w:val="00E41064"/>
    <w:rsid w:val="00E418F5"/>
    <w:rsid w:val="00E42036"/>
    <w:rsid w:val="00E56323"/>
    <w:rsid w:val="00E6780C"/>
    <w:rsid w:val="00EA1938"/>
    <w:rsid w:val="00ED4F7C"/>
    <w:rsid w:val="00EF281A"/>
    <w:rsid w:val="00EF4C19"/>
    <w:rsid w:val="00F01B06"/>
    <w:rsid w:val="00F07229"/>
    <w:rsid w:val="00F12EA2"/>
    <w:rsid w:val="00F15E5B"/>
    <w:rsid w:val="00F20123"/>
    <w:rsid w:val="00F261B2"/>
    <w:rsid w:val="00F34043"/>
    <w:rsid w:val="00F60C55"/>
    <w:rsid w:val="00F64DB9"/>
    <w:rsid w:val="00F93DD2"/>
    <w:rsid w:val="00F93E6F"/>
    <w:rsid w:val="00FB7D40"/>
    <w:rsid w:val="00FD017A"/>
    <w:rsid w:val="00FD07DA"/>
    <w:rsid w:val="00FE64C7"/>
    <w:rsid w:val="00FF2727"/>
    <w:rsid w:val="00FF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2316D-B1DC-4AC1-BEFA-C5B80F5C1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3053</Characters>
  <Application>Microsoft Office Word</Application>
  <DocSecurity>4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JUAN</cp:lastModifiedBy>
  <cp:revision>2</cp:revision>
  <cp:lastPrinted>2020-05-19T16:28:00Z</cp:lastPrinted>
  <dcterms:created xsi:type="dcterms:W3CDTF">2021-05-27T00:11:00Z</dcterms:created>
  <dcterms:modified xsi:type="dcterms:W3CDTF">2021-05-27T00:11:00Z</dcterms:modified>
</cp:coreProperties>
</file>