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71517C">
      <w:pPr>
        <w:jc w:val="center"/>
        <w:rPr>
          <w:b/>
          <w:lang w:val="es-MX"/>
        </w:rPr>
      </w:pP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Ejercicio:   </w:t>
      </w:r>
      <w:r w:rsidR="00466644">
        <w:rPr>
          <w:b/>
          <w:lang w:val="es-MX"/>
        </w:rPr>
        <w:t>2.021</w:t>
      </w:r>
      <w:r w:rsidR="0071517C">
        <w:rPr>
          <w:b/>
          <w:lang w:val="es-MX"/>
        </w:rPr>
        <w:t xml:space="preserve">                           </w:t>
      </w:r>
      <w:r w:rsidR="000F0DA3">
        <w:rPr>
          <w:b/>
          <w:lang w:val="es-MX"/>
        </w:rPr>
        <w:t xml:space="preserve">                   </w:t>
      </w:r>
      <w:r w:rsidR="000F0DA3">
        <w:rPr>
          <w:b/>
          <w:lang w:val="es-MX"/>
        </w:rPr>
        <w:tab/>
      </w:r>
      <w:r w:rsidR="000F0DA3">
        <w:rPr>
          <w:b/>
          <w:lang w:val="es-MX"/>
        </w:rPr>
        <w:tab/>
        <w:t>Trimestre: SEGUNDO</w:t>
      </w:r>
    </w:p>
    <w:p w:rsidR="0071517C" w:rsidRPr="00466B53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1A1E1F" w:rsidRDefault="0071517C" w:rsidP="0071517C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3F41E1" w:rsidRDefault="003F41E1" w:rsidP="0071517C">
      <w:pPr>
        <w:tabs>
          <w:tab w:val="left" w:pos="4680"/>
        </w:tabs>
        <w:spacing w:line="360" w:lineRule="auto"/>
        <w:ind w:left="720"/>
        <w:jc w:val="both"/>
      </w:pPr>
      <w:r>
        <w:t xml:space="preserve">La recaudación </w:t>
      </w:r>
      <w:r w:rsidR="0071517C">
        <w:t xml:space="preserve">en este período se muestra </w:t>
      </w:r>
      <w:r w:rsidR="001F277E">
        <w:t xml:space="preserve">considerablemente </w:t>
      </w:r>
      <w:r w:rsidR="0071517C">
        <w:t>inferior a la</w:t>
      </w:r>
      <w:r w:rsidR="000C6875">
        <w:t xml:space="preserve"> de la</w:t>
      </w:r>
      <w:r w:rsidR="0071517C">
        <w:t xml:space="preserve"> programación financiera, debido a que la Tasa de Justicia</w:t>
      </w:r>
      <w:r w:rsidR="008D6591">
        <w:t xml:space="preserve"> (Financiamiento 21) </w:t>
      </w:r>
      <w:r w:rsidR="0071517C">
        <w:t xml:space="preserve"> no </w:t>
      </w:r>
      <w:r w:rsidR="00BD01BF">
        <w:t>ha sido</w:t>
      </w:r>
      <w:r w:rsidR="0071517C">
        <w:t xml:space="preserve"> </w:t>
      </w:r>
      <w:r w:rsidR="00CC79E0">
        <w:t>incluida</w:t>
      </w:r>
      <w:r w:rsidR="00DF3A9A">
        <w:t xml:space="preserve"> por ser</w:t>
      </w:r>
      <w:r w:rsidR="0071517C">
        <w:t xml:space="preserve"> recauda</w:t>
      </w:r>
      <w:r w:rsidR="00DF3A9A">
        <w:t>da</w:t>
      </w:r>
      <w:r w:rsidR="0071517C">
        <w:t xml:space="preserve"> a través de ATM </w:t>
      </w:r>
      <w:r w:rsidR="000C6875">
        <w:t>en el</w:t>
      </w:r>
      <w:r w:rsidR="0071517C">
        <w:t xml:space="preserve"> CUC 906, por </w:t>
      </w:r>
      <w:r w:rsidR="00DF3A9A">
        <w:t>lo</w:t>
      </w:r>
      <w:r w:rsidR="00DB5294">
        <w:t xml:space="preserve"> </w:t>
      </w:r>
      <w:r w:rsidR="00DF3A9A">
        <w:t>cual</w:t>
      </w:r>
      <w:r w:rsidR="0071517C">
        <w:t xml:space="preserve"> tampoco se expone en el Anexo 3.</w:t>
      </w:r>
      <w:r>
        <w:t xml:space="preserve"> </w:t>
      </w:r>
    </w:p>
    <w:p w:rsidR="00DB5294" w:rsidRDefault="00E13A6B" w:rsidP="0071517C">
      <w:pPr>
        <w:tabs>
          <w:tab w:val="left" w:pos="4680"/>
        </w:tabs>
        <w:spacing w:line="360" w:lineRule="auto"/>
        <w:ind w:left="720"/>
        <w:jc w:val="both"/>
      </w:pPr>
      <w:r>
        <w:t>Aunque no se exponga, c</w:t>
      </w:r>
      <w:r w:rsidR="003F41E1">
        <w:t xml:space="preserve">abe </w:t>
      </w:r>
      <w:r w:rsidR="00466644">
        <w:t>mencionar que la recaudación de dicho fina</w:t>
      </w:r>
      <w:r w:rsidR="00466644">
        <w:t>n</w:t>
      </w:r>
      <w:r w:rsidR="00466644">
        <w:t>ciamiento (que es nuestra principal fuente para financiar erogaciones de fu</w:t>
      </w:r>
      <w:r w:rsidR="00466644">
        <w:t>n</w:t>
      </w:r>
      <w:r w:rsidR="00466644">
        <w:t xml:space="preserve">cionamiento), </w:t>
      </w:r>
      <w:r w:rsidR="000F0DA3">
        <w:t xml:space="preserve">ha tenido un buen desempeño cumpliendo con las expectativas esperadas para este segundo trimestre. </w:t>
      </w:r>
    </w:p>
    <w:p w:rsidR="000F0DA3" w:rsidRDefault="000F0DA3" w:rsidP="0071517C">
      <w:pPr>
        <w:tabs>
          <w:tab w:val="left" w:pos="4680"/>
        </w:tabs>
        <w:spacing w:line="360" w:lineRule="auto"/>
        <w:ind w:left="720"/>
        <w:jc w:val="both"/>
      </w:pPr>
      <w:r>
        <w:t xml:space="preserve">Cabe mencionar también, que durante este período ingresó la primera remesa del </w:t>
      </w:r>
      <w:r w:rsidR="00703BFB">
        <w:t xml:space="preserve">financiamiento 368 </w:t>
      </w:r>
      <w:r w:rsidR="00703BFB" w:rsidRPr="0016323C">
        <w:t xml:space="preserve">Fondo de Depósitos Judiciales – Ley </w:t>
      </w:r>
      <w:r w:rsidR="00703BFB">
        <w:t>9228</w:t>
      </w:r>
      <w:r w:rsidR="00703BFB">
        <w:t>.</w:t>
      </w:r>
      <w:r>
        <w:t xml:space="preserve"> Este recu</w:t>
      </w:r>
      <w:r>
        <w:t>r</w:t>
      </w:r>
      <w:r>
        <w:t xml:space="preserve">so no se encontraba contemplado dentro de la programación </w:t>
      </w:r>
      <w:r w:rsidR="00703BFB">
        <w:t xml:space="preserve">debido a la falta de certezas </w:t>
      </w:r>
      <w:r>
        <w:t>en cuanto al comienzo de su implementación. La incorporación del mismo al Presupuesto se estima ocurrirá en los próximos t</w:t>
      </w:r>
      <w:bookmarkStart w:id="0" w:name="_GoBack"/>
      <w:bookmarkEnd w:id="0"/>
      <w:r>
        <w:t>rime</w:t>
      </w:r>
      <w:r>
        <w:t>s</w:t>
      </w:r>
      <w:r>
        <w:t>tres.</w:t>
      </w:r>
    </w:p>
    <w:p w:rsidR="00466644" w:rsidRDefault="00466644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770ED5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3A6D3D" w:rsidRDefault="009E200E" w:rsidP="0071517C">
      <w:pPr>
        <w:tabs>
          <w:tab w:val="left" w:pos="4680"/>
        </w:tabs>
        <w:spacing w:line="360" w:lineRule="auto"/>
        <w:ind w:left="720"/>
        <w:jc w:val="both"/>
      </w:pPr>
      <w:r w:rsidRPr="009E200E">
        <w:t xml:space="preserve">Las erogaciones corrientes han sido superiores </w:t>
      </w:r>
      <w:r>
        <w:t>r</w:t>
      </w:r>
      <w:r w:rsidRPr="009E200E">
        <w:t>especto al nivel programado, producto principalme</w:t>
      </w:r>
      <w:r>
        <w:t>nte de los aumentos paritarios que afectan la partida de personal.</w:t>
      </w:r>
      <w:r w:rsidR="00E16D9D">
        <w:t xml:space="preserve"> </w:t>
      </w:r>
    </w:p>
    <w:p w:rsidR="00D87D59" w:rsidRPr="00374848" w:rsidRDefault="00D87D59" w:rsidP="0071517C">
      <w:pPr>
        <w:tabs>
          <w:tab w:val="left" w:pos="4680"/>
        </w:tabs>
        <w:spacing w:line="360" w:lineRule="auto"/>
        <w:ind w:left="720"/>
        <w:jc w:val="both"/>
      </w:pPr>
      <w:r>
        <w:t>En cuanto a las erogaciones de capital son sensiblemente más altas que las programadas debido principalmente a compras de tecnología inform</w:t>
      </w:r>
      <w:r>
        <w:t>á</w:t>
      </w:r>
      <w:r>
        <w:t>tica que no llegaron a devengarse en el ejercicio anterior y fueron reapropi</w:t>
      </w:r>
      <w:r>
        <w:t>a</w:t>
      </w:r>
      <w:r w:rsidR="003A6D3D">
        <w:t>das en éste ejercicio, como así también a com</w:t>
      </w:r>
      <w:r w:rsidR="00560149">
        <w:t xml:space="preserve">pras de mobiliario para el funcionamiento del nuevo Polo Judicial. </w:t>
      </w:r>
    </w:p>
    <w:p w:rsidR="002358AF" w:rsidRDefault="002358AF" w:rsidP="002358AF">
      <w:pPr>
        <w:tabs>
          <w:tab w:val="left" w:pos="4680"/>
        </w:tabs>
        <w:spacing w:line="360" w:lineRule="auto"/>
        <w:ind w:left="720"/>
        <w:jc w:val="both"/>
      </w:pPr>
    </w:p>
    <w:p w:rsidR="00956935" w:rsidRDefault="00956935" w:rsidP="002358AF">
      <w:pPr>
        <w:tabs>
          <w:tab w:val="left" w:pos="4680"/>
        </w:tabs>
        <w:spacing w:line="360" w:lineRule="auto"/>
        <w:ind w:left="720"/>
        <w:jc w:val="both"/>
      </w:pP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t xml:space="preserve"> </w:t>
      </w:r>
    </w:p>
    <w:p w:rsidR="00560149" w:rsidRDefault="00560149" w:rsidP="0071517C">
      <w:pPr>
        <w:tabs>
          <w:tab w:val="left" w:pos="4680"/>
        </w:tabs>
        <w:spacing w:line="360" w:lineRule="auto"/>
        <w:ind w:left="720"/>
        <w:jc w:val="both"/>
      </w:pPr>
    </w:p>
    <w:p w:rsidR="00003797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560149">
        <w:rPr>
          <w:rFonts w:ascii="Arial" w:hAnsi="Arial" w:cs="Arial"/>
          <w:b/>
          <w:bCs/>
          <w:sz w:val="16"/>
          <w:szCs w:val="16"/>
        </w:rPr>
        <w:t>Agosto</w:t>
      </w:r>
      <w:r w:rsidR="002640DB">
        <w:rPr>
          <w:rFonts w:ascii="Arial" w:hAnsi="Arial" w:cs="Arial"/>
          <w:b/>
          <w:bCs/>
          <w:sz w:val="16"/>
          <w:szCs w:val="16"/>
        </w:rPr>
        <w:t xml:space="preserve"> </w:t>
      </w:r>
      <w:r w:rsidR="00E13A6B">
        <w:rPr>
          <w:rFonts w:ascii="Arial" w:hAnsi="Arial" w:cs="Arial"/>
          <w:b/>
          <w:bCs/>
          <w:sz w:val="16"/>
          <w:szCs w:val="16"/>
        </w:rPr>
        <w:t>de 2021</w:t>
      </w:r>
    </w:p>
    <w:sectPr w:rsidR="0071517C" w:rsidSect="00560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127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9BD" w:rsidRDefault="00BC59BD">
      <w:r>
        <w:separator/>
      </w:r>
    </w:p>
  </w:endnote>
  <w:endnote w:type="continuationSeparator" w:id="0">
    <w:p w:rsidR="00BC59BD" w:rsidRDefault="00BC5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spacing w:before="140" w:line="100" w:lineRule="exact"/>
      <w:rPr>
        <w:sz w:val="10"/>
        <w:szCs w:val="10"/>
      </w:rPr>
    </w:pPr>
  </w:p>
  <w:p w:rsidR="00BC59BD" w:rsidRDefault="00BC59BD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9BD" w:rsidRDefault="00BC59BD">
      <w:r>
        <w:separator/>
      </w:r>
    </w:p>
  </w:footnote>
  <w:footnote w:type="continuationSeparator" w:id="0">
    <w:p w:rsidR="00BC59BD" w:rsidRDefault="00BC5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 wp14:anchorId="33904D7D" wp14:editId="41F9943E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797"/>
    <w:rsid w:val="00007A1C"/>
    <w:rsid w:val="00086C76"/>
    <w:rsid w:val="00091DFF"/>
    <w:rsid w:val="000A454A"/>
    <w:rsid w:val="000C2961"/>
    <w:rsid w:val="000C6875"/>
    <w:rsid w:val="000F0DA3"/>
    <w:rsid w:val="00115015"/>
    <w:rsid w:val="00131A13"/>
    <w:rsid w:val="001507E7"/>
    <w:rsid w:val="00157018"/>
    <w:rsid w:val="001868A2"/>
    <w:rsid w:val="00196548"/>
    <w:rsid w:val="001D0551"/>
    <w:rsid w:val="001F277E"/>
    <w:rsid w:val="0020726D"/>
    <w:rsid w:val="002206F7"/>
    <w:rsid w:val="002353FD"/>
    <w:rsid w:val="00235655"/>
    <w:rsid w:val="002358AF"/>
    <w:rsid w:val="002640DB"/>
    <w:rsid w:val="00296DC3"/>
    <w:rsid w:val="002C3FD3"/>
    <w:rsid w:val="002E0CA7"/>
    <w:rsid w:val="00300281"/>
    <w:rsid w:val="00305B59"/>
    <w:rsid w:val="0031434F"/>
    <w:rsid w:val="00322A99"/>
    <w:rsid w:val="00362644"/>
    <w:rsid w:val="00371975"/>
    <w:rsid w:val="00374848"/>
    <w:rsid w:val="0038163B"/>
    <w:rsid w:val="003A6D3D"/>
    <w:rsid w:val="003A7C1A"/>
    <w:rsid w:val="003C38F6"/>
    <w:rsid w:val="003E5211"/>
    <w:rsid w:val="003F41E1"/>
    <w:rsid w:val="00407A22"/>
    <w:rsid w:val="00412AC2"/>
    <w:rsid w:val="00422CD8"/>
    <w:rsid w:val="004449C4"/>
    <w:rsid w:val="00444E15"/>
    <w:rsid w:val="00461F83"/>
    <w:rsid w:val="00466355"/>
    <w:rsid w:val="00466644"/>
    <w:rsid w:val="004B096B"/>
    <w:rsid w:val="004B1801"/>
    <w:rsid w:val="004C43C6"/>
    <w:rsid w:val="005042FB"/>
    <w:rsid w:val="00510214"/>
    <w:rsid w:val="005131C3"/>
    <w:rsid w:val="00513DC0"/>
    <w:rsid w:val="0051571D"/>
    <w:rsid w:val="00550B19"/>
    <w:rsid w:val="00560149"/>
    <w:rsid w:val="005B6FBF"/>
    <w:rsid w:val="005D7C92"/>
    <w:rsid w:val="005F7762"/>
    <w:rsid w:val="00691CE3"/>
    <w:rsid w:val="0069256A"/>
    <w:rsid w:val="00696FEA"/>
    <w:rsid w:val="006A640D"/>
    <w:rsid w:val="006B3067"/>
    <w:rsid w:val="006D4D05"/>
    <w:rsid w:val="00703BFB"/>
    <w:rsid w:val="0071517C"/>
    <w:rsid w:val="007709CC"/>
    <w:rsid w:val="00777692"/>
    <w:rsid w:val="007A6D4A"/>
    <w:rsid w:val="007B44C1"/>
    <w:rsid w:val="007B610B"/>
    <w:rsid w:val="007F62EE"/>
    <w:rsid w:val="00831167"/>
    <w:rsid w:val="00834843"/>
    <w:rsid w:val="00860428"/>
    <w:rsid w:val="008B0506"/>
    <w:rsid w:val="008D6591"/>
    <w:rsid w:val="008F4E35"/>
    <w:rsid w:val="00912FDD"/>
    <w:rsid w:val="009141CC"/>
    <w:rsid w:val="00956935"/>
    <w:rsid w:val="0096416B"/>
    <w:rsid w:val="009905D2"/>
    <w:rsid w:val="009B5EEC"/>
    <w:rsid w:val="009C16AF"/>
    <w:rsid w:val="009D2163"/>
    <w:rsid w:val="009E200E"/>
    <w:rsid w:val="00A26398"/>
    <w:rsid w:val="00A609B2"/>
    <w:rsid w:val="00A669FC"/>
    <w:rsid w:val="00A75F92"/>
    <w:rsid w:val="00A8293C"/>
    <w:rsid w:val="00B47877"/>
    <w:rsid w:val="00B83F46"/>
    <w:rsid w:val="00B9047F"/>
    <w:rsid w:val="00BA13E2"/>
    <w:rsid w:val="00BB096E"/>
    <w:rsid w:val="00BC59BD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B1191"/>
    <w:rsid w:val="00CB19A9"/>
    <w:rsid w:val="00CB3266"/>
    <w:rsid w:val="00CC79E0"/>
    <w:rsid w:val="00CE7C91"/>
    <w:rsid w:val="00D0073D"/>
    <w:rsid w:val="00D06F06"/>
    <w:rsid w:val="00D374DE"/>
    <w:rsid w:val="00D87D59"/>
    <w:rsid w:val="00D95EDE"/>
    <w:rsid w:val="00DB5294"/>
    <w:rsid w:val="00DC1A35"/>
    <w:rsid w:val="00DD02AB"/>
    <w:rsid w:val="00DF3A9A"/>
    <w:rsid w:val="00E030D2"/>
    <w:rsid w:val="00E04673"/>
    <w:rsid w:val="00E13A6B"/>
    <w:rsid w:val="00E16D9D"/>
    <w:rsid w:val="00E20020"/>
    <w:rsid w:val="00E27643"/>
    <w:rsid w:val="00E57611"/>
    <w:rsid w:val="00E94D82"/>
    <w:rsid w:val="00EC6200"/>
    <w:rsid w:val="00EE3CFB"/>
    <w:rsid w:val="00F15979"/>
    <w:rsid w:val="00F15B54"/>
    <w:rsid w:val="00F15C14"/>
    <w:rsid w:val="00F27470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222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cp:lastPrinted>2019-04-05T15:06:00Z</cp:lastPrinted>
  <dcterms:created xsi:type="dcterms:W3CDTF">2021-02-08T15:11:00Z</dcterms:created>
  <dcterms:modified xsi:type="dcterms:W3CDTF">2021-08-10T11:38:00Z</dcterms:modified>
</cp:coreProperties>
</file>