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2.021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637812">
        <w:rPr>
          <w:b/>
          <w:lang w:val="es-MX"/>
        </w:rPr>
        <w:t>TERCERO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16323C">
        <w:t>En relación a los gastos de capital</w:t>
      </w:r>
      <w:r w:rsidR="002116BB">
        <w:t xml:space="preserve"> dicha partida</w:t>
      </w:r>
      <w:r w:rsidR="00784E92">
        <w:t xml:space="preserve"> fue dotada en el presupuesto con un monto insuficiente para afrontar las inversiones necesarias, por lo cual</w:t>
      </w:r>
      <w:r w:rsidRPr="0016323C">
        <w:t xml:space="preserve"> </w:t>
      </w:r>
      <w:r>
        <w:t xml:space="preserve">los desvíos </w:t>
      </w:r>
      <w:r w:rsidRPr="0016323C">
        <w:t>se compensará</w:t>
      </w:r>
      <w:r>
        <w:t>n</w:t>
      </w:r>
      <w:r w:rsidRPr="0016323C">
        <w:t xml:space="preserve"> en parte con reasignaciones de partidas corrientes, en lo que se refiere a la Tasa de Jus</w:t>
      </w:r>
      <w:r w:rsidR="000A0715">
        <w:t xml:space="preserve">ticia (Fin 21) y </w:t>
      </w:r>
      <w:r w:rsidRPr="0016323C">
        <w:t>con el ingreso de nuevas partidas provenientes del f</w:t>
      </w:r>
      <w:r w:rsidRPr="0016323C">
        <w:t>i</w:t>
      </w:r>
      <w:r w:rsidRPr="0016323C">
        <w:t xml:space="preserve">nanciamiento 368 Fondo de Depósitos Judiciales – Ley </w:t>
      </w:r>
      <w:r w:rsidR="00784E92">
        <w:t>9228</w:t>
      </w:r>
      <w:r w:rsidR="000A0715">
        <w:t>.</w:t>
      </w:r>
      <w:r w:rsidR="00637812">
        <w:t xml:space="preserve">  </w:t>
      </w:r>
      <w:r>
        <w:t xml:space="preserve">  </w:t>
      </w:r>
      <w:bookmarkStart w:id="0" w:name="_GoBack"/>
      <w:bookmarkEnd w:id="0"/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637812">
        <w:rPr>
          <w:rFonts w:ascii="Arial" w:hAnsi="Arial" w:cs="Arial"/>
          <w:b/>
          <w:bCs/>
          <w:sz w:val="16"/>
          <w:szCs w:val="16"/>
        </w:rPr>
        <w:t xml:space="preserve"> Noviembre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227CAB">
        <w:rPr>
          <w:rFonts w:ascii="Arial" w:hAnsi="Arial" w:cs="Arial"/>
          <w:b/>
          <w:bCs/>
          <w:sz w:val="16"/>
          <w:szCs w:val="16"/>
        </w:rPr>
        <w:t>1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F7762"/>
    <w:rsid w:val="00637812"/>
    <w:rsid w:val="006773CB"/>
    <w:rsid w:val="00691CE3"/>
    <w:rsid w:val="00696FEA"/>
    <w:rsid w:val="006A01FE"/>
    <w:rsid w:val="006A640D"/>
    <w:rsid w:val="006B3067"/>
    <w:rsid w:val="0071517C"/>
    <w:rsid w:val="007420C7"/>
    <w:rsid w:val="007709CC"/>
    <w:rsid w:val="00777692"/>
    <w:rsid w:val="00784E92"/>
    <w:rsid w:val="00785020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57611"/>
    <w:rsid w:val="00E637C8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2019-04-05T15:06:00Z</cp:lastPrinted>
  <dcterms:created xsi:type="dcterms:W3CDTF">2021-11-08T15:53:00Z</dcterms:created>
  <dcterms:modified xsi:type="dcterms:W3CDTF">2021-11-08T16:04:00Z</dcterms:modified>
</cp:coreProperties>
</file>