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385336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2343CF">
        <w:rPr>
          <w:rFonts w:ascii="Verdana" w:hAnsi="Verdana"/>
          <w:b/>
        </w:rPr>
        <w:t>1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>ART</w:t>
      </w:r>
      <w:r w:rsidR="00A67B2C">
        <w:rPr>
          <w:rFonts w:ascii="Verdana" w:hAnsi="Verdana"/>
        </w:rPr>
        <w:t>Í</w:t>
      </w:r>
      <w:r w:rsidRPr="00204BB1">
        <w:rPr>
          <w:rFonts w:ascii="Verdana" w:hAnsi="Verdana"/>
        </w:rPr>
        <w:t xml:space="preserve">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</w:t>
      </w:r>
      <w:r w:rsidR="00C87007">
        <w:rPr>
          <w:rFonts w:ascii="Verdana" w:hAnsi="Verdana"/>
          <w:sz w:val="22"/>
          <w:szCs w:val="22"/>
          <w:u w:val="single"/>
        </w:rPr>
        <w:t xml:space="preserve">LOS </w:t>
      </w:r>
      <w:r w:rsidRPr="00753476">
        <w:rPr>
          <w:rFonts w:ascii="Verdana" w:hAnsi="Verdana"/>
          <w:sz w:val="22"/>
          <w:szCs w:val="22"/>
          <w:u w:val="single"/>
        </w:rPr>
        <w:t xml:space="preserve">INCUMPLIMIENTOS DE LAS METAS </w:t>
      </w:r>
    </w:p>
    <w:p w:rsidR="00934B0D" w:rsidRDefault="009C42E6" w:rsidP="00402998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2343CF" w:rsidRPr="00DC385E" w:rsidRDefault="009C42E6" w:rsidP="008147B2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2343CF">
        <w:rPr>
          <w:rFonts w:ascii="Verdana" w:hAnsi="Verdana"/>
          <w:color w:val="000000"/>
        </w:rPr>
        <w:t>En el presente trimestre se registr</w:t>
      </w:r>
      <w:r w:rsidR="00A67B2C">
        <w:rPr>
          <w:rFonts w:ascii="Verdana" w:hAnsi="Verdana"/>
          <w:color w:val="000000"/>
        </w:rPr>
        <w:t>ó el devengado de los gastos y servicios pendientes realizados y prestados</w:t>
      </w:r>
      <w:r w:rsidR="002343CF">
        <w:rPr>
          <w:rFonts w:ascii="Verdana" w:hAnsi="Verdana"/>
          <w:color w:val="000000"/>
        </w:rPr>
        <w:t xml:space="preserve"> </w:t>
      </w:r>
      <w:r w:rsidR="00A67B2C">
        <w:rPr>
          <w:rFonts w:ascii="Verdana" w:hAnsi="Verdana"/>
          <w:color w:val="000000"/>
        </w:rPr>
        <w:t>en</w:t>
      </w:r>
      <w:r w:rsidR="002343CF">
        <w:rPr>
          <w:rFonts w:ascii="Verdana" w:hAnsi="Verdana"/>
          <w:color w:val="000000"/>
        </w:rPr>
        <w:t xml:space="preserve"> los trimestres anteriores</w:t>
      </w:r>
      <w:r w:rsidR="00A67B2C">
        <w:rPr>
          <w:rFonts w:ascii="Verdana" w:hAnsi="Verdana"/>
          <w:color w:val="000000"/>
        </w:rPr>
        <w:t xml:space="preserve"> (limpieza, comisiones y gastos bancarios, </w:t>
      </w:r>
      <w:proofErr w:type="spellStart"/>
      <w:r w:rsidR="00A67B2C">
        <w:rPr>
          <w:rFonts w:ascii="Verdana" w:hAnsi="Verdana"/>
          <w:color w:val="000000"/>
        </w:rPr>
        <w:t>etc</w:t>
      </w:r>
      <w:proofErr w:type="spellEnd"/>
      <w:r w:rsidR="00A67B2C">
        <w:rPr>
          <w:rFonts w:ascii="Verdana" w:hAnsi="Verdana"/>
          <w:color w:val="000000"/>
        </w:rPr>
        <w:t>)</w:t>
      </w:r>
      <w:r w:rsidR="002343CF">
        <w:rPr>
          <w:rFonts w:ascii="Verdana" w:hAnsi="Verdana"/>
          <w:color w:val="000000"/>
        </w:rPr>
        <w:t>, por tal motivo,  lo ejecutado es mayor a lo programado.</w:t>
      </w:r>
      <w:r w:rsidR="002343CF" w:rsidRPr="00DC385E">
        <w:rPr>
          <w:rFonts w:ascii="Verdana" w:hAnsi="Verdana"/>
          <w:color w:val="000000"/>
        </w:rPr>
        <w:t xml:space="preserve"> </w:t>
      </w:r>
    </w:p>
    <w:p w:rsidR="002343CF" w:rsidRPr="00094A9C" w:rsidRDefault="002343CF" w:rsidP="008147B2">
      <w:pPr>
        <w:spacing w:line="360" w:lineRule="auto"/>
        <w:ind w:left="709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Setiembre 20</w:t>
      </w:r>
      <w:r w:rsidR="00F0154F">
        <w:rPr>
          <w:rFonts w:ascii="Verdana" w:hAnsi="Verdana"/>
          <w:color w:val="000000"/>
        </w:rPr>
        <w:t>21</w:t>
      </w:r>
      <w:r>
        <w:rPr>
          <w:rFonts w:ascii="Verdana" w:hAnsi="Verdana"/>
          <w:color w:val="000000"/>
        </w:rPr>
        <w:t xml:space="preserve"> impacta en el  4to trimestre; sumando a ello las fluctuaciones de los recursos por la coparticipación Nacional percibidos por la Provincia.</w:t>
      </w:r>
    </w:p>
    <w:p w:rsidR="00B33656" w:rsidRPr="00B33656" w:rsidRDefault="009C42E6" w:rsidP="00402998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A67B2C">
        <w:rPr>
          <w:rFonts w:ascii="Verdana" w:hAnsi="Verdana"/>
        </w:rPr>
        <w:t>Dichos recursos s</w:t>
      </w:r>
      <w:r w:rsidR="00C87007" w:rsidRPr="00B33656">
        <w:rPr>
          <w:rFonts w:ascii="Verdana" w:hAnsi="Verdana"/>
        </w:rPr>
        <w:t xml:space="preserve">e ejecutaron en el CUC 26 correspondiente a la DAABO </w:t>
      </w:r>
      <w:r w:rsidR="001508A9">
        <w:rPr>
          <w:rFonts w:ascii="Verdana" w:hAnsi="Verdana"/>
        </w:rPr>
        <w:t xml:space="preserve">en concepto de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5B2ECE">
        <w:rPr>
          <w:rFonts w:ascii="Verdana" w:hAnsi="Verdana"/>
        </w:rPr>
        <w:t>6.752.424,82</w:t>
      </w:r>
      <w:r w:rsidR="00C87007" w:rsidRPr="00B33656">
        <w:rPr>
          <w:rFonts w:ascii="Verdana" w:hAnsi="Verdana"/>
        </w:rPr>
        <w:t xml:space="preserve"> (Pesos </w:t>
      </w:r>
      <w:r w:rsidR="00746086">
        <w:rPr>
          <w:rFonts w:ascii="Verdana" w:hAnsi="Verdana"/>
        </w:rPr>
        <w:t xml:space="preserve">seis millones setecientos cincuenta y dos mil cuatrocientos veinticuatro </w:t>
      </w:r>
      <w:r w:rsidR="00C87007" w:rsidRPr="00B33656">
        <w:rPr>
          <w:rFonts w:ascii="Verdana" w:hAnsi="Verdana"/>
        </w:rPr>
        <w:t xml:space="preserve">con </w:t>
      </w:r>
      <w:r w:rsidR="00746086">
        <w:rPr>
          <w:rFonts w:ascii="Verdana" w:hAnsi="Verdana"/>
        </w:rPr>
        <w:t>82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</w:t>
      </w:r>
      <w:r w:rsidR="001508A9">
        <w:rPr>
          <w:rFonts w:ascii="Verdana" w:hAnsi="Verdana"/>
        </w:rPr>
        <w:t xml:space="preserve"> y por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</w:t>
      </w:r>
      <w:r w:rsidR="00A67B2C">
        <w:rPr>
          <w:rFonts w:ascii="Verdana" w:hAnsi="Verdana"/>
          <w:b/>
        </w:rPr>
        <w:t xml:space="preserve"> </w:t>
      </w:r>
      <w:r w:rsidR="00C87007" w:rsidRPr="008A5780">
        <w:rPr>
          <w:rFonts w:ascii="Verdana" w:hAnsi="Verdana"/>
          <w:b/>
        </w:rPr>
        <w:t>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9A4906">
        <w:rPr>
          <w:rFonts w:ascii="Verdana" w:hAnsi="Verdana"/>
        </w:rPr>
        <w:t>1.</w:t>
      </w:r>
      <w:r w:rsidR="00746086">
        <w:rPr>
          <w:rFonts w:ascii="Verdana" w:hAnsi="Verdana"/>
        </w:rPr>
        <w:t>878.48</w:t>
      </w:r>
      <w:r w:rsidR="00A67B2C">
        <w:rPr>
          <w:rFonts w:ascii="Verdana" w:hAnsi="Verdana"/>
        </w:rPr>
        <w:t>6</w:t>
      </w:r>
      <w:r w:rsidR="00746086">
        <w:rPr>
          <w:rFonts w:ascii="Verdana" w:hAnsi="Verdana"/>
        </w:rPr>
        <w:t>,31</w:t>
      </w:r>
      <w:r w:rsidR="00C87007" w:rsidRPr="00B33656">
        <w:rPr>
          <w:rFonts w:ascii="Verdana" w:hAnsi="Verdana"/>
        </w:rPr>
        <w:t xml:space="preserve"> (</w:t>
      </w:r>
      <w:r w:rsidR="00C87007">
        <w:rPr>
          <w:rFonts w:ascii="Verdana" w:hAnsi="Verdana"/>
        </w:rPr>
        <w:t xml:space="preserve">Pesos </w:t>
      </w:r>
      <w:r w:rsidR="009A4906">
        <w:rPr>
          <w:rFonts w:ascii="Verdana" w:hAnsi="Verdana"/>
        </w:rPr>
        <w:t>un</w:t>
      </w:r>
      <w:r w:rsidR="00C87007">
        <w:rPr>
          <w:rFonts w:ascii="Verdana" w:hAnsi="Verdana"/>
        </w:rPr>
        <w:t xml:space="preserve"> </w:t>
      </w:r>
      <w:r w:rsidR="009A4906">
        <w:rPr>
          <w:rFonts w:ascii="Verdana" w:hAnsi="Verdana"/>
        </w:rPr>
        <w:t>millón</w:t>
      </w:r>
      <w:r w:rsidR="00746086">
        <w:rPr>
          <w:rFonts w:ascii="Verdana" w:hAnsi="Verdana"/>
        </w:rPr>
        <w:t xml:space="preserve"> ochocientos setenta y ocho mil cuatrocientos ochenta y seis </w:t>
      </w:r>
      <w:r w:rsidR="00C87007">
        <w:rPr>
          <w:rFonts w:ascii="Verdana" w:hAnsi="Verdana"/>
        </w:rPr>
        <w:t>con</w:t>
      </w:r>
      <w:r w:rsidR="00C87007" w:rsidRPr="00B33656">
        <w:rPr>
          <w:rFonts w:ascii="Verdana" w:hAnsi="Verdana"/>
        </w:rPr>
        <w:t xml:space="preserve"> </w:t>
      </w:r>
      <w:r w:rsidR="00A67B2C">
        <w:rPr>
          <w:rFonts w:ascii="Verdana" w:hAnsi="Verdana"/>
        </w:rPr>
        <w:t>31</w:t>
      </w:r>
      <w:r w:rsidR="00C87007" w:rsidRPr="00B33656">
        <w:rPr>
          <w:rFonts w:ascii="Verdana" w:hAnsi="Verdana"/>
        </w:rPr>
        <w:t>/100). Con respecto a estos recursos de la DA</w:t>
      </w:r>
      <w:r w:rsidR="00A67B2C">
        <w:rPr>
          <w:rFonts w:ascii="Verdana" w:hAnsi="Verdana"/>
        </w:rPr>
        <w:t>A</w:t>
      </w:r>
      <w:r w:rsidR="00C87007" w:rsidRPr="00B33656">
        <w:rPr>
          <w:rFonts w:ascii="Verdana" w:hAnsi="Verdana"/>
        </w:rPr>
        <w:t xml:space="preserve">BO, el </w:t>
      </w:r>
      <w:r w:rsidR="00A67B2C">
        <w:rPr>
          <w:rFonts w:ascii="Verdana" w:hAnsi="Verdana"/>
        </w:rPr>
        <w:t>mismo</w:t>
      </w:r>
      <w:r w:rsidR="00C87007" w:rsidRPr="00B33656">
        <w:rPr>
          <w:rFonts w:ascii="Verdana" w:hAnsi="Verdana"/>
        </w:rPr>
        <w:t xml:space="preserve"> no ha realizado la </w:t>
      </w:r>
      <w:r w:rsidR="00A67B2C">
        <w:rPr>
          <w:rFonts w:ascii="Verdana" w:hAnsi="Verdana"/>
        </w:rPr>
        <w:t xml:space="preserve">correspondiente </w:t>
      </w:r>
      <w:r w:rsidR="00C87007" w:rsidRPr="00B33656">
        <w:rPr>
          <w:rFonts w:ascii="Verdana" w:hAnsi="Verdana"/>
        </w:rPr>
        <w:t>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096C74" w:rsidRDefault="00096C7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06121F" w:rsidRPr="00CE2896" w:rsidRDefault="00B33656" w:rsidP="008147B2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Pr="00B33656">
        <w:rPr>
          <w:rFonts w:ascii="Verdana" w:hAnsi="Verdana"/>
          <w:color w:val="000000"/>
        </w:rPr>
        <w:t xml:space="preserve">  </w:t>
      </w:r>
      <w:r w:rsidR="0006121F">
        <w:rPr>
          <w:rFonts w:ascii="Verdana" w:hAnsi="Verdana"/>
          <w:color w:val="000000"/>
        </w:rPr>
        <w:t xml:space="preserve"> En el </w:t>
      </w:r>
      <w:r w:rsidR="00EF2D50">
        <w:rPr>
          <w:rFonts w:ascii="Verdana" w:hAnsi="Verdana"/>
          <w:color w:val="000000"/>
        </w:rPr>
        <w:t xml:space="preserve">presente </w:t>
      </w:r>
      <w:r w:rsidR="0006121F">
        <w:rPr>
          <w:rFonts w:ascii="Verdana" w:hAnsi="Verdana"/>
          <w:color w:val="000000"/>
        </w:rPr>
        <w:t>trimestre</w:t>
      </w:r>
      <w:r w:rsidR="003B3DD8">
        <w:rPr>
          <w:rFonts w:ascii="Verdana" w:hAnsi="Verdana"/>
          <w:color w:val="000000"/>
        </w:rPr>
        <w:t>,</w:t>
      </w:r>
      <w:r w:rsidR="0006121F">
        <w:rPr>
          <w:rFonts w:ascii="Verdana" w:hAnsi="Verdana"/>
          <w:color w:val="000000"/>
        </w:rPr>
        <w:t xml:space="preserve"> </w:t>
      </w:r>
      <w:r w:rsidR="00EF2D50">
        <w:rPr>
          <w:rFonts w:ascii="Verdana" w:hAnsi="Verdana"/>
          <w:color w:val="000000"/>
        </w:rPr>
        <w:t xml:space="preserve">en </w:t>
      </w:r>
      <w:r w:rsidR="0006121F">
        <w:rPr>
          <w:rFonts w:ascii="Verdana" w:hAnsi="Verdana"/>
          <w:color w:val="000000"/>
        </w:rPr>
        <w:t xml:space="preserve">este concepto </w:t>
      </w:r>
      <w:r w:rsidR="00EF2D50">
        <w:rPr>
          <w:rFonts w:ascii="Verdana" w:hAnsi="Verdana"/>
          <w:color w:val="000000"/>
        </w:rPr>
        <w:t xml:space="preserve"> </w:t>
      </w:r>
      <w:r w:rsidR="0006121F">
        <w:rPr>
          <w:rFonts w:ascii="Verdana" w:hAnsi="Verdana"/>
          <w:color w:val="000000"/>
        </w:rPr>
        <w:t>se ejecut</w:t>
      </w:r>
      <w:r w:rsidR="00EF2D50">
        <w:rPr>
          <w:rFonts w:ascii="Verdana" w:hAnsi="Verdana"/>
          <w:color w:val="000000"/>
        </w:rPr>
        <w:t>aron erogaciones de capital</w:t>
      </w:r>
      <w:r w:rsidR="00A67B2C">
        <w:rPr>
          <w:rFonts w:ascii="Verdana" w:hAnsi="Verdana"/>
          <w:color w:val="000000"/>
        </w:rPr>
        <w:t xml:space="preserve"> por el</w:t>
      </w:r>
      <w:r w:rsidR="0006121F">
        <w:rPr>
          <w:rFonts w:ascii="Verdana" w:hAnsi="Verdana"/>
        </w:rPr>
        <w:t xml:space="preserve"> monto </w:t>
      </w:r>
      <w:r w:rsidR="00A67B2C">
        <w:rPr>
          <w:rFonts w:ascii="Verdana" w:hAnsi="Verdana"/>
        </w:rPr>
        <w:t xml:space="preserve">de </w:t>
      </w:r>
      <w:r w:rsidR="00C01616">
        <w:rPr>
          <w:rFonts w:ascii="Verdana" w:hAnsi="Verdana"/>
        </w:rPr>
        <w:t>$</w:t>
      </w:r>
      <w:r w:rsidR="00746086">
        <w:rPr>
          <w:rFonts w:ascii="Verdana" w:hAnsi="Verdana"/>
        </w:rPr>
        <w:t>600.998.739,25</w:t>
      </w:r>
      <w:r w:rsidR="00C01616">
        <w:rPr>
          <w:rFonts w:ascii="Verdana" w:hAnsi="Verdana"/>
        </w:rPr>
        <w:t xml:space="preserve"> (</w:t>
      </w:r>
      <w:r w:rsidR="00824EE3">
        <w:rPr>
          <w:rFonts w:ascii="Verdana" w:hAnsi="Verdana"/>
        </w:rPr>
        <w:t>seiscientos millones novecientos noventa y ocho mil setecientos treinta y nueve</w:t>
      </w:r>
      <w:r w:rsidR="00EB742F">
        <w:rPr>
          <w:rFonts w:ascii="Verdana" w:hAnsi="Verdana"/>
        </w:rPr>
        <w:t xml:space="preserve"> con </w:t>
      </w:r>
      <w:r w:rsidR="00824EE3">
        <w:rPr>
          <w:rFonts w:ascii="Verdana" w:hAnsi="Verdana"/>
        </w:rPr>
        <w:t>25</w:t>
      </w:r>
      <w:r w:rsidR="00EB742F">
        <w:rPr>
          <w:rFonts w:ascii="Verdana" w:hAnsi="Verdana"/>
        </w:rPr>
        <w:t>/100</w:t>
      </w:r>
      <w:r w:rsidR="00C01616">
        <w:rPr>
          <w:rFonts w:ascii="Verdana" w:hAnsi="Verdana"/>
        </w:rPr>
        <w:t>)</w:t>
      </w:r>
      <w:r w:rsidR="00A67B2C">
        <w:rPr>
          <w:rFonts w:ascii="Verdana" w:hAnsi="Verdana"/>
        </w:rPr>
        <w:t>;</w:t>
      </w:r>
      <w:r w:rsidR="00C01616">
        <w:rPr>
          <w:rFonts w:ascii="Verdana" w:hAnsi="Verdana"/>
        </w:rPr>
        <w:t xml:space="preserve"> que corresponde </w:t>
      </w:r>
      <w:r w:rsidR="001508A9">
        <w:rPr>
          <w:rFonts w:ascii="Verdana" w:hAnsi="Verdana"/>
        </w:rPr>
        <w:t xml:space="preserve">a </w:t>
      </w:r>
      <w:r w:rsidR="001508A9" w:rsidRPr="00A67B2C">
        <w:rPr>
          <w:rFonts w:ascii="Verdana" w:hAnsi="Verdana"/>
          <w:b/>
        </w:rPr>
        <w:t xml:space="preserve">diversas </w:t>
      </w:r>
      <w:r w:rsidR="00C01616" w:rsidRPr="00A67B2C">
        <w:rPr>
          <w:rFonts w:ascii="Verdana" w:hAnsi="Verdana"/>
          <w:b/>
        </w:rPr>
        <w:t>compra</w:t>
      </w:r>
      <w:r w:rsidR="001508A9" w:rsidRPr="00A67B2C">
        <w:rPr>
          <w:rFonts w:ascii="Verdana" w:hAnsi="Verdana"/>
          <w:b/>
        </w:rPr>
        <w:t>s de Bienes de Capital</w:t>
      </w:r>
      <w:r w:rsidR="001508A9">
        <w:rPr>
          <w:rFonts w:ascii="Verdana" w:hAnsi="Verdana"/>
        </w:rPr>
        <w:t>: 1)</w:t>
      </w:r>
      <w:r w:rsidR="00C01616">
        <w:rPr>
          <w:rFonts w:ascii="Verdana" w:hAnsi="Verdana"/>
        </w:rPr>
        <w:t xml:space="preserve"> </w:t>
      </w:r>
      <w:r w:rsidR="00824EE3">
        <w:rPr>
          <w:rFonts w:ascii="Verdana" w:hAnsi="Verdana"/>
        </w:rPr>
        <w:t>Monitor</w:t>
      </w:r>
      <w:r w:rsidR="00EB742F">
        <w:rPr>
          <w:rFonts w:ascii="Verdana" w:hAnsi="Verdana"/>
        </w:rPr>
        <w:t xml:space="preserve"> </w:t>
      </w:r>
      <w:r w:rsidR="00A67B2C">
        <w:rPr>
          <w:rFonts w:ascii="Verdana" w:hAnsi="Verdana"/>
        </w:rPr>
        <w:t>para</w:t>
      </w:r>
      <w:r w:rsidR="00EB742F">
        <w:rPr>
          <w:rFonts w:ascii="Verdana" w:hAnsi="Verdana"/>
        </w:rPr>
        <w:t xml:space="preserve"> </w:t>
      </w:r>
      <w:r w:rsidR="000C741F">
        <w:rPr>
          <w:rFonts w:ascii="Verdana" w:hAnsi="Verdana"/>
        </w:rPr>
        <w:t xml:space="preserve">la Dirección General de Presupuesto del </w:t>
      </w:r>
      <w:r w:rsidR="00EB742F">
        <w:rPr>
          <w:rFonts w:ascii="Verdana" w:hAnsi="Verdana"/>
        </w:rPr>
        <w:t>Ministerio de Hacienda y Finanzas</w:t>
      </w:r>
      <w:r w:rsidR="00CE2896">
        <w:rPr>
          <w:rFonts w:ascii="Verdana" w:hAnsi="Verdana"/>
        </w:rPr>
        <w:t xml:space="preserve"> por un monto de $25.990,00 (veinticinco novecientos noventa con 00/100)</w:t>
      </w:r>
      <w:r w:rsidR="00EB742F">
        <w:rPr>
          <w:rFonts w:ascii="Verdana" w:hAnsi="Verdana"/>
        </w:rPr>
        <w:t>,</w:t>
      </w:r>
      <w:r w:rsidR="00CE2896">
        <w:rPr>
          <w:rFonts w:ascii="Verdana" w:hAnsi="Verdana"/>
        </w:rPr>
        <w:t xml:space="preserve"> </w:t>
      </w:r>
      <w:r w:rsidR="00CE2896">
        <w:rPr>
          <w:rFonts w:ascii="Verdana" w:hAnsi="Verdana"/>
        </w:rPr>
        <w:t xml:space="preserve">2) Aire Acondicionado </w:t>
      </w:r>
      <w:r w:rsidR="00A67B2C">
        <w:rPr>
          <w:rFonts w:ascii="Verdana" w:hAnsi="Verdana"/>
        </w:rPr>
        <w:t xml:space="preserve">para </w:t>
      </w:r>
      <w:r w:rsidR="00CE2896">
        <w:rPr>
          <w:rFonts w:ascii="Verdana" w:hAnsi="Verdana"/>
        </w:rPr>
        <w:t xml:space="preserve">Tesorería General de la Provincia por un monto de $64.532,23 ( sesenta y cuatro mil quinientos treinta y dos con 23/100) y </w:t>
      </w:r>
      <w:r w:rsidR="00A129AB" w:rsidRPr="00C37883">
        <w:rPr>
          <w:rFonts w:ascii="Verdana" w:hAnsi="Verdana"/>
          <w:b/>
        </w:rPr>
        <w:t>Préstamos otorgados a Municipios</w:t>
      </w:r>
      <w:r w:rsidR="00A129AB" w:rsidRPr="00CE2896">
        <w:rPr>
          <w:rFonts w:ascii="Verdana" w:hAnsi="Verdana"/>
        </w:rPr>
        <w:t xml:space="preserve">, en el marco del </w:t>
      </w:r>
      <w:r w:rsidR="00A67B2C">
        <w:rPr>
          <w:rFonts w:ascii="Verdana" w:hAnsi="Verdana"/>
        </w:rPr>
        <w:t>A</w:t>
      </w:r>
      <w:r w:rsidR="00A129AB" w:rsidRPr="00CE2896">
        <w:rPr>
          <w:rFonts w:ascii="Verdana" w:hAnsi="Verdana"/>
        </w:rPr>
        <w:t>rt. 42 de la Ley 9</w:t>
      </w:r>
      <w:r w:rsidR="00A67B2C">
        <w:rPr>
          <w:rFonts w:ascii="Verdana" w:hAnsi="Verdana"/>
        </w:rPr>
        <w:t>.</w:t>
      </w:r>
      <w:r w:rsidR="00A129AB" w:rsidRPr="00CE2896">
        <w:rPr>
          <w:rFonts w:ascii="Verdana" w:hAnsi="Verdana"/>
        </w:rPr>
        <w:t xml:space="preserve">278, para Proyectos de Eficiencia Energética, por un monto de $600.908.217,02 (pesos seiscientos millones novecientos ocho mil doscientos diecisiete con </w:t>
      </w:r>
      <w:r w:rsidR="00705E6C" w:rsidRPr="00CE2896">
        <w:rPr>
          <w:rFonts w:ascii="Verdana" w:hAnsi="Verdana"/>
        </w:rPr>
        <w:t>02</w:t>
      </w:r>
      <w:r w:rsidR="00A129AB" w:rsidRPr="00CE2896">
        <w:rPr>
          <w:rFonts w:ascii="Verdana" w:hAnsi="Verdana"/>
        </w:rPr>
        <w:t>/100</w:t>
      </w:r>
      <w:r w:rsidR="00705E6C" w:rsidRPr="00CE2896">
        <w:rPr>
          <w:rFonts w:ascii="Verdana" w:hAnsi="Verdana"/>
        </w:rPr>
        <w:t>),</w:t>
      </w:r>
      <w:r w:rsidR="00A67B2C">
        <w:rPr>
          <w:rFonts w:ascii="Verdana" w:hAnsi="Verdana"/>
        </w:rPr>
        <w:t xml:space="preserve"> según información otorgada por la </w:t>
      </w:r>
      <w:r w:rsidR="00705E6C" w:rsidRPr="00CE2896">
        <w:rPr>
          <w:rFonts w:ascii="Verdana" w:hAnsi="Verdana"/>
        </w:rPr>
        <w:t xml:space="preserve"> </w:t>
      </w:r>
      <w:r w:rsidR="00DF572E" w:rsidRPr="00CE2896">
        <w:rPr>
          <w:rFonts w:ascii="Verdana" w:hAnsi="Verdana"/>
        </w:rPr>
        <w:t>Dirección General de Crédito al Sector Público</w:t>
      </w:r>
      <w:r w:rsidR="00EF2D50" w:rsidRPr="00CE2896">
        <w:rPr>
          <w:rFonts w:ascii="Verdana" w:hAnsi="Verdana"/>
        </w:rPr>
        <w:t>.</w:t>
      </w:r>
    </w:p>
    <w:p w:rsidR="00B33656" w:rsidRDefault="00B33656" w:rsidP="0006121F">
      <w:p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8147B2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</w:t>
      </w:r>
      <w:r w:rsidR="001508A9">
        <w:rPr>
          <w:rFonts w:ascii="Verdana" w:hAnsi="Verdana"/>
        </w:rPr>
        <w:t xml:space="preserve">el global en la Administración aunque en el presente trimestre observamos que el ejecutado </w:t>
      </w:r>
      <w:r w:rsidR="00A67B2C">
        <w:rPr>
          <w:rFonts w:ascii="Verdana" w:hAnsi="Verdana"/>
        </w:rPr>
        <w:t xml:space="preserve">es </w:t>
      </w:r>
      <w:r w:rsidR="001508A9">
        <w:rPr>
          <w:rFonts w:ascii="Verdana" w:hAnsi="Verdana"/>
        </w:rPr>
        <w:t>de $0,00 (</w:t>
      </w:r>
      <w:r w:rsidR="00A67B2C">
        <w:rPr>
          <w:rFonts w:ascii="Verdana" w:hAnsi="Verdana"/>
        </w:rPr>
        <w:t xml:space="preserve">pesos </w:t>
      </w:r>
      <w:r w:rsidR="001508A9">
        <w:rPr>
          <w:rFonts w:ascii="Verdana" w:hAnsi="Verdana"/>
        </w:rPr>
        <w:t xml:space="preserve">cero) </w:t>
      </w:r>
      <w:r w:rsidR="003722E0" w:rsidRPr="008A5780">
        <w:rPr>
          <w:rFonts w:ascii="Verdana" w:hAnsi="Verdana"/>
        </w:rPr>
        <w:t xml:space="preserve">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</w:t>
      </w:r>
    </w:p>
    <w:p w:rsidR="00CE2896" w:rsidRDefault="00136061" w:rsidP="008147B2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  <w:u w:val="single"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>El gasto figurativo es mayor al presupuestado,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CE2896" w:rsidRDefault="00CE2896">
      <w:pPr>
        <w:rPr>
          <w:rFonts w:ascii="Verdana" w:hAnsi="Verdana"/>
          <w:u w:val="single" w:color="FFFFFF" w:themeColor="background1"/>
        </w:rPr>
      </w:pPr>
      <w:r>
        <w:rPr>
          <w:rFonts w:ascii="Verdana" w:hAnsi="Verdana"/>
          <w:u w:val="single" w:color="FFFFFF" w:themeColor="background1"/>
        </w:rPr>
        <w:br w:type="page"/>
      </w:r>
    </w:p>
    <w:p w:rsidR="00346CA3" w:rsidRPr="003722E0" w:rsidRDefault="00346CA3" w:rsidP="00CE2896">
      <w:pPr>
        <w:spacing w:line="360" w:lineRule="auto"/>
        <w:ind w:left="709"/>
        <w:jc w:val="both"/>
        <w:rPr>
          <w:rFonts w:ascii="Verdana" w:hAnsi="Verdana"/>
          <w:u w:color="FFFFFF" w:themeColor="background1"/>
        </w:rPr>
      </w:pPr>
    </w:p>
    <w:p w:rsidR="00292867" w:rsidRPr="00A55197" w:rsidRDefault="00136061" w:rsidP="008147B2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A55197">
        <w:rPr>
          <w:rFonts w:ascii="Verdana" w:hAnsi="Verdana"/>
        </w:rPr>
        <w:t xml:space="preserve">En </w:t>
      </w:r>
      <w:r w:rsidRPr="00A55197">
        <w:rPr>
          <w:rFonts w:ascii="Verdana" w:hAnsi="Verdana"/>
          <w:b/>
          <w:u w:val="single"/>
        </w:rPr>
        <w:t>Fuentes de Financiamiento:</w:t>
      </w:r>
      <w:r w:rsidR="003722E0" w:rsidRPr="00A55197">
        <w:rPr>
          <w:rFonts w:ascii="Verdana" w:hAnsi="Verdana"/>
          <w:b/>
        </w:rPr>
        <w:t xml:space="preserve"> </w:t>
      </w:r>
      <w:r w:rsidR="003722E0" w:rsidRPr="00A55197">
        <w:rPr>
          <w:rFonts w:ascii="Verdana" w:hAnsi="Verdana"/>
        </w:rPr>
        <w:t>El ingreso de la fuente de financiamiento respecto a lo programado debe analizarse a nivel global en la Administración Centra</w:t>
      </w:r>
      <w:r w:rsidR="00C76620" w:rsidRPr="00CE2896">
        <w:rPr>
          <w:rFonts w:ascii="Verdana" w:hAnsi="Verdana"/>
        </w:rPr>
        <w:t>l</w:t>
      </w:r>
      <w:r w:rsidR="00CE2896" w:rsidRPr="00CE2896">
        <w:rPr>
          <w:rFonts w:ascii="Verdana" w:hAnsi="Verdana"/>
        </w:rPr>
        <w:t>.</w:t>
      </w:r>
      <w:r w:rsidR="00A55197" w:rsidRPr="00CE2896">
        <w:rPr>
          <w:rFonts w:ascii="Verdana" w:hAnsi="Verdana"/>
        </w:rPr>
        <w:t xml:space="preserve"> Con respecto a lo ejecutado de $</w:t>
      </w:r>
      <w:r w:rsidR="00240527" w:rsidRPr="00CE2896">
        <w:rPr>
          <w:rFonts w:ascii="Verdana" w:hAnsi="Verdana"/>
        </w:rPr>
        <w:t xml:space="preserve">4.446.025,00 </w:t>
      </w:r>
      <w:r w:rsidR="00A55197" w:rsidRPr="00CE2896">
        <w:rPr>
          <w:rFonts w:ascii="Verdana" w:hAnsi="Verdana"/>
        </w:rPr>
        <w:t>(</w:t>
      </w:r>
      <w:r w:rsidR="00FD1DE7" w:rsidRPr="00CE2896">
        <w:rPr>
          <w:rFonts w:ascii="Verdana" w:hAnsi="Verdana"/>
        </w:rPr>
        <w:t xml:space="preserve">pesos </w:t>
      </w:r>
      <w:r w:rsidR="00240527" w:rsidRPr="00CE2896">
        <w:rPr>
          <w:rFonts w:ascii="Verdana" w:hAnsi="Verdana"/>
        </w:rPr>
        <w:t>cuatro</w:t>
      </w:r>
      <w:r w:rsidR="00A55197" w:rsidRPr="00CE2896">
        <w:rPr>
          <w:rFonts w:ascii="Verdana" w:hAnsi="Verdana"/>
        </w:rPr>
        <w:t xml:space="preserve"> millones </w:t>
      </w:r>
      <w:r w:rsidR="00240527" w:rsidRPr="00CE2896">
        <w:rPr>
          <w:rFonts w:ascii="Verdana" w:hAnsi="Verdana"/>
        </w:rPr>
        <w:t>cuatrocientos cuarenta y seis</w:t>
      </w:r>
      <w:r w:rsidR="00A55197" w:rsidRPr="00CE2896">
        <w:rPr>
          <w:rFonts w:ascii="Verdana" w:hAnsi="Verdana"/>
        </w:rPr>
        <w:t xml:space="preserve"> mil </w:t>
      </w:r>
      <w:r w:rsidR="00240527" w:rsidRPr="00CE2896">
        <w:rPr>
          <w:rFonts w:ascii="Verdana" w:hAnsi="Verdana"/>
        </w:rPr>
        <w:t>veinticinco</w:t>
      </w:r>
      <w:r w:rsidR="00A55197" w:rsidRPr="00CE2896">
        <w:rPr>
          <w:rFonts w:ascii="Verdana" w:hAnsi="Verdana"/>
        </w:rPr>
        <w:t xml:space="preserve"> con 00/100)</w:t>
      </w:r>
      <w:r w:rsidR="00A67B2C">
        <w:rPr>
          <w:rFonts w:ascii="Verdana" w:hAnsi="Verdana"/>
        </w:rPr>
        <w:t xml:space="preserve"> registrado </w:t>
      </w:r>
      <w:r w:rsidR="00240527" w:rsidRPr="00CE2896">
        <w:rPr>
          <w:rFonts w:ascii="Verdana" w:hAnsi="Verdana"/>
        </w:rPr>
        <w:t>en la cuenta nº 7130108380, corresponde a gastos descontados al momento de la emisión de los Títulos de Deuda 2023 -  Art. 1 Dto. 2</w:t>
      </w:r>
      <w:r w:rsidR="00A67B2C">
        <w:rPr>
          <w:rFonts w:ascii="Verdana" w:hAnsi="Verdana"/>
        </w:rPr>
        <w:t>.</w:t>
      </w:r>
      <w:r w:rsidR="00240527" w:rsidRPr="00CE2896">
        <w:rPr>
          <w:rFonts w:ascii="Verdana" w:hAnsi="Verdana"/>
        </w:rPr>
        <w:t>058/2021, s</w:t>
      </w:r>
      <w:r w:rsidR="00A55197" w:rsidRPr="00CE2896">
        <w:rPr>
          <w:rFonts w:ascii="Verdana" w:hAnsi="Verdana"/>
        </w:rPr>
        <w:t xml:space="preserve">egún </w:t>
      </w:r>
      <w:r w:rsidR="00A67B2C">
        <w:rPr>
          <w:rFonts w:ascii="Verdana" w:hAnsi="Verdana"/>
        </w:rPr>
        <w:t>O</w:t>
      </w:r>
      <w:r w:rsidR="00A55197" w:rsidRPr="00CE2896">
        <w:rPr>
          <w:rFonts w:ascii="Verdana" w:hAnsi="Verdana"/>
        </w:rPr>
        <w:t xml:space="preserve">rden de </w:t>
      </w:r>
      <w:r w:rsidR="00A67B2C">
        <w:rPr>
          <w:rFonts w:ascii="Verdana" w:hAnsi="Verdana"/>
        </w:rPr>
        <w:t>P</w:t>
      </w:r>
      <w:r w:rsidR="00A55197" w:rsidRPr="00CE2896">
        <w:rPr>
          <w:rFonts w:ascii="Verdana" w:hAnsi="Verdana"/>
        </w:rPr>
        <w:t xml:space="preserve">ago </w:t>
      </w:r>
      <w:r w:rsidR="00A67B2C">
        <w:rPr>
          <w:rFonts w:ascii="Verdana" w:hAnsi="Verdana"/>
        </w:rPr>
        <w:t>Nº</w:t>
      </w:r>
      <w:r w:rsidR="00A55197" w:rsidRPr="00CE2896">
        <w:rPr>
          <w:rFonts w:ascii="Verdana" w:hAnsi="Verdana"/>
        </w:rPr>
        <w:t xml:space="preserve"> </w:t>
      </w:r>
      <w:r w:rsidR="00240527" w:rsidRPr="00CE2896">
        <w:rPr>
          <w:rFonts w:ascii="Verdana" w:hAnsi="Verdana"/>
        </w:rPr>
        <w:t>198</w:t>
      </w:r>
      <w:r w:rsidR="00A55197" w:rsidRPr="00CE2896">
        <w:rPr>
          <w:rFonts w:ascii="Verdana" w:hAnsi="Verdana"/>
        </w:rPr>
        <w:t xml:space="preserve"> CUC 20 año 2021</w:t>
      </w:r>
      <w:r w:rsidR="00240527" w:rsidRPr="00CE2896">
        <w:rPr>
          <w:rFonts w:ascii="Verdana" w:hAnsi="Verdana"/>
        </w:rPr>
        <w:t>.</w:t>
      </w:r>
      <w:r w:rsidR="00FD1DE7" w:rsidRPr="00CE2896">
        <w:rPr>
          <w:rFonts w:ascii="Verdana" w:hAnsi="Verdana"/>
        </w:rPr>
        <w:t xml:space="preserve"> Respecto al monto que asciende a $9.975.000,00 (pesos nueve millones novecientos setenta y cinco mil con 00/100)</w:t>
      </w:r>
      <w:r w:rsidR="00A67B2C">
        <w:rPr>
          <w:rFonts w:ascii="Verdana" w:hAnsi="Verdana"/>
        </w:rPr>
        <w:t xml:space="preserve"> registrado</w:t>
      </w:r>
      <w:r w:rsidR="00FD1DE7" w:rsidRPr="00CE2896">
        <w:rPr>
          <w:rFonts w:ascii="Verdana" w:hAnsi="Verdana"/>
        </w:rPr>
        <w:t xml:space="preserve"> en la cuenta nº 7120507381</w:t>
      </w:r>
      <w:r w:rsidR="002701F7" w:rsidRPr="00CE2896">
        <w:rPr>
          <w:rFonts w:ascii="Verdana" w:hAnsi="Verdana"/>
        </w:rPr>
        <w:t xml:space="preserve">, </w:t>
      </w:r>
      <w:r w:rsidR="00FD1DE7" w:rsidRPr="00CE2896">
        <w:rPr>
          <w:rFonts w:ascii="Verdana" w:hAnsi="Verdana"/>
        </w:rPr>
        <w:t>corresponde a gastos descontados al momento de la emisión de los Títulos de Deuda 202</w:t>
      </w:r>
      <w:r w:rsidR="002701F7" w:rsidRPr="00CE2896">
        <w:rPr>
          <w:rFonts w:ascii="Verdana" w:hAnsi="Verdana"/>
        </w:rPr>
        <w:t>4</w:t>
      </w:r>
      <w:r w:rsidR="002F6966" w:rsidRPr="00CE2896">
        <w:rPr>
          <w:rFonts w:ascii="Verdana" w:hAnsi="Verdana"/>
        </w:rPr>
        <w:t xml:space="preserve"> </w:t>
      </w:r>
      <w:r w:rsidR="00D91108" w:rsidRPr="00CE2896">
        <w:rPr>
          <w:rFonts w:ascii="Verdana" w:hAnsi="Verdana"/>
        </w:rPr>
        <w:t>p</w:t>
      </w:r>
      <w:r w:rsidR="002F6966" w:rsidRPr="00CE2896">
        <w:rPr>
          <w:rFonts w:ascii="Verdana" w:hAnsi="Verdana"/>
        </w:rPr>
        <w:t>/</w:t>
      </w:r>
      <w:proofErr w:type="spellStart"/>
      <w:r w:rsidR="002F6966" w:rsidRPr="00CE2896">
        <w:rPr>
          <w:rFonts w:ascii="Verdana" w:hAnsi="Verdana"/>
        </w:rPr>
        <w:t>Inv</w:t>
      </w:r>
      <w:proofErr w:type="spellEnd"/>
      <w:r w:rsidR="002F6966" w:rsidRPr="00CE2896">
        <w:rPr>
          <w:rFonts w:ascii="Verdana" w:hAnsi="Verdana"/>
        </w:rPr>
        <w:t xml:space="preserve"> </w:t>
      </w:r>
      <w:proofErr w:type="spellStart"/>
      <w:r w:rsidR="002F6966" w:rsidRPr="00CE2896">
        <w:rPr>
          <w:rFonts w:ascii="Verdana" w:hAnsi="Verdana"/>
        </w:rPr>
        <w:t>Inf</w:t>
      </w:r>
      <w:proofErr w:type="spellEnd"/>
      <w:r w:rsidR="002F6966" w:rsidRPr="00CE2896">
        <w:rPr>
          <w:rFonts w:ascii="Verdana" w:hAnsi="Verdana"/>
        </w:rPr>
        <w:t xml:space="preserve">. </w:t>
      </w:r>
      <w:proofErr w:type="spellStart"/>
      <w:r w:rsidR="002F6966" w:rsidRPr="00CE2896">
        <w:rPr>
          <w:rFonts w:ascii="Verdana" w:hAnsi="Verdana"/>
        </w:rPr>
        <w:t>Publ</w:t>
      </w:r>
      <w:proofErr w:type="spellEnd"/>
      <w:r w:rsidR="002F6966" w:rsidRPr="00CE2896">
        <w:rPr>
          <w:rFonts w:ascii="Verdana" w:hAnsi="Verdana"/>
        </w:rPr>
        <w:t xml:space="preserve"> </w:t>
      </w:r>
      <w:r w:rsidR="00FD1DE7" w:rsidRPr="00CE2896">
        <w:rPr>
          <w:rFonts w:ascii="Verdana" w:hAnsi="Verdana"/>
        </w:rPr>
        <w:t xml:space="preserve">-  Art. </w:t>
      </w:r>
      <w:r w:rsidR="002701F7" w:rsidRPr="00CE2896">
        <w:rPr>
          <w:rFonts w:ascii="Verdana" w:hAnsi="Verdana"/>
        </w:rPr>
        <w:t>2</w:t>
      </w:r>
      <w:r w:rsidR="00FD1DE7" w:rsidRPr="00CE2896">
        <w:rPr>
          <w:rFonts w:ascii="Verdana" w:hAnsi="Verdana"/>
        </w:rPr>
        <w:t xml:space="preserve"> Dto. 2058/2021, según </w:t>
      </w:r>
      <w:r w:rsidR="00887E43">
        <w:rPr>
          <w:rFonts w:ascii="Verdana" w:hAnsi="Verdana"/>
        </w:rPr>
        <w:t>O</w:t>
      </w:r>
      <w:r w:rsidR="00FD1DE7" w:rsidRPr="00CE2896">
        <w:rPr>
          <w:rFonts w:ascii="Verdana" w:hAnsi="Verdana"/>
        </w:rPr>
        <w:t xml:space="preserve">rden de </w:t>
      </w:r>
      <w:r w:rsidR="00887E43">
        <w:rPr>
          <w:rFonts w:ascii="Verdana" w:hAnsi="Verdana"/>
        </w:rPr>
        <w:t>P</w:t>
      </w:r>
      <w:r w:rsidR="00FD1DE7" w:rsidRPr="00CE2896">
        <w:rPr>
          <w:rFonts w:ascii="Verdana" w:hAnsi="Verdana"/>
        </w:rPr>
        <w:t xml:space="preserve">ago nº </w:t>
      </w:r>
      <w:r w:rsidR="00D91108" w:rsidRPr="00CE2896">
        <w:rPr>
          <w:rFonts w:ascii="Verdana" w:hAnsi="Verdana"/>
        </w:rPr>
        <w:t>214</w:t>
      </w:r>
      <w:r w:rsidR="00FD1DE7" w:rsidRPr="00CE2896">
        <w:rPr>
          <w:rFonts w:ascii="Verdana" w:hAnsi="Verdana"/>
        </w:rPr>
        <w:t xml:space="preserve"> CUC 20 año 2021</w:t>
      </w:r>
      <w:r w:rsidR="008147B2" w:rsidRPr="00CE2896">
        <w:rPr>
          <w:rFonts w:ascii="Verdana" w:hAnsi="Verdana"/>
        </w:rPr>
        <w:t>.</w:t>
      </w:r>
      <w:r w:rsidR="00887E43">
        <w:rPr>
          <w:rFonts w:ascii="Verdana" w:hAnsi="Verdana"/>
        </w:rPr>
        <w:t xml:space="preserve"> Información detallada por </w:t>
      </w:r>
      <w:r w:rsidR="00887E43" w:rsidRPr="00CE2896">
        <w:rPr>
          <w:rFonts w:ascii="Verdana" w:hAnsi="Verdana"/>
        </w:rPr>
        <w:t>Dirección General de Crédito al Sector Público.</w:t>
      </w:r>
    </w:p>
    <w:p w:rsidR="006C62C9" w:rsidRPr="00A15E9E" w:rsidRDefault="006C62C9" w:rsidP="00402998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  <w:color w:val="FF0000"/>
        </w:rPr>
      </w:pPr>
      <w:r w:rsidRPr="00A0352E">
        <w:rPr>
          <w:rFonts w:ascii="Verdana" w:hAnsi="Verdana"/>
          <w:color w:val="000000"/>
        </w:rPr>
        <w:t xml:space="preserve">En las </w:t>
      </w:r>
      <w:r w:rsidRPr="00A0352E">
        <w:rPr>
          <w:rFonts w:ascii="Verdana" w:hAnsi="Verdana"/>
          <w:b/>
          <w:color w:val="000000"/>
          <w:u w:val="single"/>
        </w:rPr>
        <w:t>Aplicaciones Financieras:</w:t>
      </w:r>
      <w:r w:rsidRPr="00A0352E">
        <w:rPr>
          <w:rFonts w:ascii="Verdana" w:hAnsi="Verdana"/>
          <w:color w:val="000000"/>
        </w:rPr>
        <w:t xml:space="preserve">   Se observa una ejecución menor a lo programado </w:t>
      </w:r>
      <w:proofErr w:type="gramStart"/>
      <w:r w:rsidRPr="00A0352E">
        <w:rPr>
          <w:rFonts w:ascii="Verdana" w:hAnsi="Verdana"/>
          <w:color w:val="000000"/>
        </w:rPr>
        <w:t>debido</w:t>
      </w:r>
      <w:proofErr w:type="gramEnd"/>
      <w:r w:rsidRPr="00A0352E">
        <w:rPr>
          <w:rFonts w:ascii="Verdana" w:hAnsi="Verdana"/>
          <w:color w:val="000000"/>
        </w:rPr>
        <w:t xml:space="preserve"> al devengado de la deuda flotante del Ejercicio anterior de las partidas Amortización Deuda Residuos Pasivos (74101) y Amortización Deuda Acreedores Varios (74102). </w:t>
      </w:r>
      <w:r w:rsidR="00887E43">
        <w:rPr>
          <w:rFonts w:ascii="Verdana" w:hAnsi="Verdana"/>
          <w:color w:val="000000"/>
        </w:rPr>
        <w:t>Ya que dichas partidas tuvieron</w:t>
      </w:r>
      <w:r w:rsidRPr="00A0352E">
        <w:rPr>
          <w:rFonts w:ascii="Verdana" w:hAnsi="Verdana"/>
          <w:color w:val="000000"/>
        </w:rPr>
        <w:t xml:space="preserve"> mayor impacto en el </w:t>
      </w:r>
      <w:r w:rsidRPr="00CE2896">
        <w:rPr>
          <w:rFonts w:ascii="Verdana" w:hAnsi="Verdana"/>
          <w:color w:val="000000"/>
        </w:rPr>
        <w:t>1er Trimestre del 2021</w:t>
      </w:r>
      <w:r w:rsidRPr="00A0352E">
        <w:rPr>
          <w:rFonts w:ascii="Verdana" w:hAnsi="Verdana"/>
          <w:color w:val="000000"/>
        </w:rPr>
        <w:t>.</w:t>
      </w:r>
      <w:r w:rsidRPr="00723E81">
        <w:rPr>
          <w:rFonts w:ascii="Verdana" w:hAnsi="Verdana"/>
          <w:color w:val="000000"/>
        </w:rPr>
        <w:t xml:space="preserve"> </w:t>
      </w:r>
      <w:r w:rsidRPr="00CE2896">
        <w:rPr>
          <w:rFonts w:ascii="Verdana" w:hAnsi="Verdana"/>
        </w:rPr>
        <w:t>Con respecto a Amortización de Capital por otras deudas (amortización de la deuda consolidada 72103) en este trimestre se ejecutó en menor medida</w:t>
      </w:r>
      <w:r w:rsidRPr="00CE2896">
        <w:rPr>
          <w:rFonts w:ascii="Verdana" w:hAnsi="Verdana" w:cs="Arial"/>
        </w:rPr>
        <w:t>, debido principalmente, a distintas operatorias de refinanciación de deudas, mediante las cuales, se lograron ampliar los periodos de gracia para los pagos de amortización de la deuda, y de esta manera, disminuir los servicios por este concepto durante el presente trimestre y ejercicio</w:t>
      </w:r>
      <w:r w:rsidR="00887E43">
        <w:rPr>
          <w:rFonts w:ascii="Verdana" w:hAnsi="Verdana" w:cs="Arial"/>
        </w:rPr>
        <w:t xml:space="preserve"> 2021</w:t>
      </w:r>
      <w:r w:rsidRPr="00CE2896">
        <w:rPr>
          <w:rFonts w:ascii="Verdana" w:hAnsi="Verdana" w:cs="Arial"/>
        </w:rPr>
        <w:t>; por lo cual, se ha producido una ejecución menor de la partida 72103 respecto a lo programado financieramente a fines de</w:t>
      </w:r>
      <w:r w:rsidR="00C37883">
        <w:rPr>
          <w:rFonts w:ascii="Verdana" w:hAnsi="Verdana" w:cs="Arial"/>
        </w:rPr>
        <w:t>l</w:t>
      </w:r>
      <w:bookmarkStart w:id="0" w:name="_GoBack"/>
      <w:bookmarkEnd w:id="0"/>
      <w:r w:rsidRPr="00CE2896">
        <w:rPr>
          <w:rFonts w:ascii="Verdana" w:hAnsi="Verdana" w:cs="Arial"/>
        </w:rPr>
        <w:t xml:space="preserve"> 2020. Además, parte de la diferencia, puede ser explicada debido a las variaciones en las proyecciones de: los distintos índices de ajuste (UVA, CER), la tasa de interés estimada y el tipo de cambio proyectado</w:t>
      </w:r>
      <w:r w:rsidRPr="00CE2896">
        <w:rPr>
          <w:rFonts w:ascii="Verdana" w:hAnsi="Verdana"/>
        </w:rPr>
        <w:t xml:space="preserve">. Información que surge del CUC 020 </w:t>
      </w:r>
      <w:r w:rsidR="00887E43">
        <w:rPr>
          <w:rFonts w:ascii="Verdana" w:hAnsi="Verdana"/>
        </w:rPr>
        <w:t xml:space="preserve">de la </w:t>
      </w:r>
      <w:r w:rsidRPr="00CE2896">
        <w:rPr>
          <w:rFonts w:ascii="Verdana" w:hAnsi="Verdana"/>
        </w:rPr>
        <w:t>Dirección General de Crédito al Sector Público.</w:t>
      </w:r>
    </w:p>
    <w:sectPr w:rsidR="006C62C9" w:rsidRPr="00A15E9E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9E" w:rsidRDefault="00E66D9E" w:rsidP="00022F60">
      <w:r>
        <w:separator/>
      </w:r>
    </w:p>
  </w:endnote>
  <w:endnote w:type="continuationSeparator" w:id="0">
    <w:p w:rsidR="00E66D9E" w:rsidRDefault="00E66D9E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9E" w:rsidRDefault="00E66D9E" w:rsidP="00022F60">
      <w:r>
        <w:separator/>
      </w:r>
    </w:p>
  </w:footnote>
  <w:footnote w:type="continuationSeparator" w:id="0">
    <w:p w:rsidR="00E66D9E" w:rsidRDefault="00E66D9E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7D669608" wp14:editId="6396BAEC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Peltier 351-Cdad. |   +54 0261 4492281/ 2274 </w:t>
    </w:r>
  </w:p>
  <w:p w:rsidR="008C1D33" w:rsidRPr="008C1D33" w:rsidRDefault="00E66D9E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41C89"/>
    <w:rsid w:val="00053410"/>
    <w:rsid w:val="00057AE5"/>
    <w:rsid w:val="000606CC"/>
    <w:rsid w:val="0006121F"/>
    <w:rsid w:val="00067998"/>
    <w:rsid w:val="00091097"/>
    <w:rsid w:val="00094A9C"/>
    <w:rsid w:val="00096C74"/>
    <w:rsid w:val="000A011B"/>
    <w:rsid w:val="000A1E98"/>
    <w:rsid w:val="000A395B"/>
    <w:rsid w:val="000A68B5"/>
    <w:rsid w:val="000C741F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08A9"/>
    <w:rsid w:val="0015268E"/>
    <w:rsid w:val="0016446C"/>
    <w:rsid w:val="001649B4"/>
    <w:rsid w:val="00165DA0"/>
    <w:rsid w:val="00167EF9"/>
    <w:rsid w:val="00174F7F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343CF"/>
    <w:rsid w:val="00240527"/>
    <w:rsid w:val="00244803"/>
    <w:rsid w:val="0025169C"/>
    <w:rsid w:val="002561CE"/>
    <w:rsid w:val="00267AF4"/>
    <w:rsid w:val="002701F7"/>
    <w:rsid w:val="00270BB9"/>
    <w:rsid w:val="00270BCC"/>
    <w:rsid w:val="00271015"/>
    <w:rsid w:val="00272A3D"/>
    <w:rsid w:val="00272DE7"/>
    <w:rsid w:val="00273D22"/>
    <w:rsid w:val="002822D1"/>
    <w:rsid w:val="00292867"/>
    <w:rsid w:val="002A7C2D"/>
    <w:rsid w:val="002C1B5C"/>
    <w:rsid w:val="002C21B3"/>
    <w:rsid w:val="002C5FB3"/>
    <w:rsid w:val="002D13C2"/>
    <w:rsid w:val="002D267D"/>
    <w:rsid w:val="002D32DD"/>
    <w:rsid w:val="002F1816"/>
    <w:rsid w:val="002F6966"/>
    <w:rsid w:val="003204FD"/>
    <w:rsid w:val="00327D1E"/>
    <w:rsid w:val="00337367"/>
    <w:rsid w:val="00341087"/>
    <w:rsid w:val="0034206E"/>
    <w:rsid w:val="003439DD"/>
    <w:rsid w:val="00343DA3"/>
    <w:rsid w:val="00346CA3"/>
    <w:rsid w:val="00356351"/>
    <w:rsid w:val="00365275"/>
    <w:rsid w:val="003655FD"/>
    <w:rsid w:val="003658E7"/>
    <w:rsid w:val="003662CB"/>
    <w:rsid w:val="00366BFD"/>
    <w:rsid w:val="003722E0"/>
    <w:rsid w:val="0037323C"/>
    <w:rsid w:val="00373E68"/>
    <w:rsid w:val="00385336"/>
    <w:rsid w:val="003879C9"/>
    <w:rsid w:val="00395FDE"/>
    <w:rsid w:val="003A4419"/>
    <w:rsid w:val="003A7D26"/>
    <w:rsid w:val="003B0116"/>
    <w:rsid w:val="003B31EB"/>
    <w:rsid w:val="003B3DD8"/>
    <w:rsid w:val="003B653A"/>
    <w:rsid w:val="003C237D"/>
    <w:rsid w:val="003C71E2"/>
    <w:rsid w:val="003F6DAE"/>
    <w:rsid w:val="00401344"/>
    <w:rsid w:val="00402998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0F1"/>
    <w:rsid w:val="00484850"/>
    <w:rsid w:val="00484B5F"/>
    <w:rsid w:val="004850ED"/>
    <w:rsid w:val="00487680"/>
    <w:rsid w:val="00491DAF"/>
    <w:rsid w:val="00493D56"/>
    <w:rsid w:val="004A1F87"/>
    <w:rsid w:val="004B711A"/>
    <w:rsid w:val="004C208B"/>
    <w:rsid w:val="004C4999"/>
    <w:rsid w:val="004C5EB5"/>
    <w:rsid w:val="004D13BA"/>
    <w:rsid w:val="004D317C"/>
    <w:rsid w:val="004E1AC7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ECE"/>
    <w:rsid w:val="005B2F5B"/>
    <w:rsid w:val="005B3CAF"/>
    <w:rsid w:val="005B7007"/>
    <w:rsid w:val="005C1812"/>
    <w:rsid w:val="005C2086"/>
    <w:rsid w:val="005D0868"/>
    <w:rsid w:val="005D13DC"/>
    <w:rsid w:val="005D5978"/>
    <w:rsid w:val="005D73F5"/>
    <w:rsid w:val="005E1708"/>
    <w:rsid w:val="005F01D3"/>
    <w:rsid w:val="005F07CF"/>
    <w:rsid w:val="005F6AF1"/>
    <w:rsid w:val="006003B3"/>
    <w:rsid w:val="00606D2B"/>
    <w:rsid w:val="00614107"/>
    <w:rsid w:val="00617939"/>
    <w:rsid w:val="00624603"/>
    <w:rsid w:val="006411D9"/>
    <w:rsid w:val="00644D37"/>
    <w:rsid w:val="00646528"/>
    <w:rsid w:val="00664E82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C62C9"/>
    <w:rsid w:val="006D0ECF"/>
    <w:rsid w:val="006D5DE1"/>
    <w:rsid w:val="006E3768"/>
    <w:rsid w:val="006E487B"/>
    <w:rsid w:val="007022FB"/>
    <w:rsid w:val="00705E6C"/>
    <w:rsid w:val="00713D6B"/>
    <w:rsid w:val="007169C2"/>
    <w:rsid w:val="00726993"/>
    <w:rsid w:val="00730D26"/>
    <w:rsid w:val="0073187B"/>
    <w:rsid w:val="007350DF"/>
    <w:rsid w:val="007353D7"/>
    <w:rsid w:val="00736E31"/>
    <w:rsid w:val="00741CCC"/>
    <w:rsid w:val="00743FBD"/>
    <w:rsid w:val="00746086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3A0C"/>
    <w:rsid w:val="007C514F"/>
    <w:rsid w:val="007C72E0"/>
    <w:rsid w:val="007D6482"/>
    <w:rsid w:val="007E548B"/>
    <w:rsid w:val="007F37BC"/>
    <w:rsid w:val="007F6962"/>
    <w:rsid w:val="008119B5"/>
    <w:rsid w:val="00814544"/>
    <w:rsid w:val="008147B2"/>
    <w:rsid w:val="00824EE3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87E43"/>
    <w:rsid w:val="008B4F13"/>
    <w:rsid w:val="008B56EE"/>
    <w:rsid w:val="008C1D33"/>
    <w:rsid w:val="008C2534"/>
    <w:rsid w:val="008C419E"/>
    <w:rsid w:val="008C52D2"/>
    <w:rsid w:val="008C5E34"/>
    <w:rsid w:val="008C6865"/>
    <w:rsid w:val="008D5B57"/>
    <w:rsid w:val="008D65D8"/>
    <w:rsid w:val="008E5A2D"/>
    <w:rsid w:val="008F1B4C"/>
    <w:rsid w:val="008F1BB9"/>
    <w:rsid w:val="00913C7F"/>
    <w:rsid w:val="0091408D"/>
    <w:rsid w:val="0092174C"/>
    <w:rsid w:val="00925F2F"/>
    <w:rsid w:val="00934B0D"/>
    <w:rsid w:val="0093723B"/>
    <w:rsid w:val="00941FCC"/>
    <w:rsid w:val="00952403"/>
    <w:rsid w:val="0095349E"/>
    <w:rsid w:val="009646D4"/>
    <w:rsid w:val="00982571"/>
    <w:rsid w:val="009868FF"/>
    <w:rsid w:val="00990A3B"/>
    <w:rsid w:val="009958DD"/>
    <w:rsid w:val="00997741"/>
    <w:rsid w:val="009A4906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29AB"/>
    <w:rsid w:val="00A14E73"/>
    <w:rsid w:val="00A15E9E"/>
    <w:rsid w:val="00A2651D"/>
    <w:rsid w:val="00A324DA"/>
    <w:rsid w:val="00A33012"/>
    <w:rsid w:val="00A37DD5"/>
    <w:rsid w:val="00A42AFB"/>
    <w:rsid w:val="00A525B6"/>
    <w:rsid w:val="00A5346C"/>
    <w:rsid w:val="00A55197"/>
    <w:rsid w:val="00A57B98"/>
    <w:rsid w:val="00A66352"/>
    <w:rsid w:val="00A67B2C"/>
    <w:rsid w:val="00A70733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4A89"/>
    <w:rsid w:val="00AF6330"/>
    <w:rsid w:val="00B038CA"/>
    <w:rsid w:val="00B14E55"/>
    <w:rsid w:val="00B2430F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676D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1616"/>
    <w:rsid w:val="00C02A81"/>
    <w:rsid w:val="00C05D8B"/>
    <w:rsid w:val="00C07566"/>
    <w:rsid w:val="00C076FC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37883"/>
    <w:rsid w:val="00C476F1"/>
    <w:rsid w:val="00C47E5E"/>
    <w:rsid w:val="00C504A3"/>
    <w:rsid w:val="00C661D8"/>
    <w:rsid w:val="00C76620"/>
    <w:rsid w:val="00C76F2E"/>
    <w:rsid w:val="00C77987"/>
    <w:rsid w:val="00C81901"/>
    <w:rsid w:val="00C86F8A"/>
    <w:rsid w:val="00C87007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2896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17E10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1108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DF572E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66D9E"/>
    <w:rsid w:val="00E72D40"/>
    <w:rsid w:val="00E75FD5"/>
    <w:rsid w:val="00EA33A9"/>
    <w:rsid w:val="00EB2BAA"/>
    <w:rsid w:val="00EB742F"/>
    <w:rsid w:val="00EC238E"/>
    <w:rsid w:val="00ED186E"/>
    <w:rsid w:val="00ED716D"/>
    <w:rsid w:val="00EE5522"/>
    <w:rsid w:val="00EF2D50"/>
    <w:rsid w:val="00EF31BB"/>
    <w:rsid w:val="00F0154F"/>
    <w:rsid w:val="00F12A29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1DE7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2E3D-E23B-4C9C-B1AE-1119CAB5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5214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2022-02-14T18:34:00Z</cp:lastPrinted>
  <dcterms:created xsi:type="dcterms:W3CDTF">2022-02-14T18:35:00Z</dcterms:created>
  <dcterms:modified xsi:type="dcterms:W3CDTF">2022-02-14T18:35:00Z</dcterms:modified>
</cp:coreProperties>
</file>