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743FBD">
        <w:rPr>
          <w:rFonts w:ascii="Verdana" w:hAnsi="Verdana"/>
          <w:b/>
        </w:rPr>
        <w:t>1</w:t>
      </w:r>
      <w:r w:rsidRPr="00613183">
        <w:rPr>
          <w:rFonts w:ascii="Verdana" w:hAnsi="Verdana"/>
          <w:b/>
        </w:rPr>
        <w:t>° TRIMESTRE 20</w:t>
      </w:r>
      <w:r w:rsidR="00F762CA">
        <w:rPr>
          <w:rFonts w:ascii="Verdana" w:hAnsi="Verdana"/>
          <w:b/>
        </w:rPr>
        <w:t>2</w:t>
      </w:r>
      <w:r w:rsidR="005750E5">
        <w:rPr>
          <w:rFonts w:ascii="Verdana" w:hAnsi="Verdana"/>
          <w:b/>
        </w:rPr>
        <w:t>2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A63129" w:rsidRDefault="009C42E6" w:rsidP="009C42E6">
      <w:pPr>
        <w:spacing w:line="360" w:lineRule="auto"/>
        <w:jc w:val="both"/>
        <w:rPr>
          <w:rFonts w:ascii="Verdana" w:hAnsi="Verdana"/>
          <w:b/>
          <w:sz w:val="22"/>
          <w:szCs w:val="22"/>
          <w:u w:val="single"/>
        </w:rPr>
      </w:pPr>
      <w:r w:rsidRPr="00A63129">
        <w:rPr>
          <w:rFonts w:ascii="Verdana" w:hAnsi="Verdana"/>
          <w:b/>
          <w:sz w:val="22"/>
          <w:szCs w:val="22"/>
          <w:u w:val="single"/>
        </w:rPr>
        <w:t xml:space="preserve">CAUSAS DE </w:t>
      </w:r>
      <w:r w:rsidR="00C87007" w:rsidRPr="00A63129">
        <w:rPr>
          <w:rFonts w:ascii="Verdana" w:hAnsi="Verdana"/>
          <w:b/>
          <w:sz w:val="22"/>
          <w:szCs w:val="22"/>
          <w:u w:val="single"/>
        </w:rPr>
        <w:t xml:space="preserve">LOS </w:t>
      </w:r>
      <w:r w:rsidRPr="00A63129">
        <w:rPr>
          <w:rFonts w:ascii="Verdana" w:hAnsi="Verdana"/>
          <w:b/>
          <w:sz w:val="22"/>
          <w:szCs w:val="22"/>
          <w:u w:val="single"/>
        </w:rPr>
        <w:t xml:space="preserve">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</w:t>
      </w:r>
      <w:r w:rsidR="002C5FB3">
        <w:rPr>
          <w:rFonts w:ascii="Verdana" w:hAnsi="Verdana"/>
        </w:rPr>
        <w:t>son</w:t>
      </w:r>
      <w:r w:rsidR="00606D2B">
        <w:rPr>
          <w:rFonts w:ascii="Verdana" w:hAnsi="Verdana"/>
        </w:rPr>
        <w:t xml:space="preserve"> los</w:t>
      </w:r>
      <w:r w:rsidR="002C5FB3">
        <w:rPr>
          <w:rFonts w:ascii="Verdana" w:hAnsi="Verdana"/>
        </w:rPr>
        <w:t xml:space="preserve"> financiamiento</w:t>
      </w:r>
      <w:r w:rsidR="00346CA3">
        <w:rPr>
          <w:rFonts w:ascii="Verdana" w:hAnsi="Verdana"/>
        </w:rPr>
        <w:t>s</w:t>
      </w:r>
      <w:r w:rsidR="00606D2B">
        <w:rPr>
          <w:rFonts w:ascii="Verdana" w:hAnsi="Verdana"/>
        </w:rPr>
        <w:t xml:space="preserve"> </w:t>
      </w:r>
      <w:r w:rsidR="002C5FB3">
        <w:rPr>
          <w:rFonts w:ascii="Verdana" w:hAnsi="Verdana"/>
        </w:rPr>
        <w:t>que financian erogaciones y están</w:t>
      </w:r>
      <w:r w:rsidR="00346CA3">
        <w:rPr>
          <w:rFonts w:ascii="Verdana" w:hAnsi="Verdana"/>
        </w:rPr>
        <w:t xml:space="preserve"> incluidos en el CJUO</w:t>
      </w:r>
      <w:r w:rsidR="002C5FB3">
        <w:rPr>
          <w:rFonts w:ascii="Verdana" w:hAnsi="Verdana"/>
        </w:rPr>
        <w:t xml:space="preserve"> 1 06 25</w:t>
      </w:r>
      <w:r w:rsidR="00934B0D">
        <w:rPr>
          <w:rFonts w:ascii="Verdana" w:hAnsi="Verdana"/>
        </w:rPr>
        <w:t>.</w:t>
      </w:r>
      <w:r w:rsidR="006D0ECF" w:rsidRPr="006D0ECF">
        <w:t xml:space="preserve"> </w:t>
      </w:r>
      <w:r w:rsidR="00934B0D">
        <w:rPr>
          <w:rFonts w:ascii="Verdana" w:hAnsi="Verdana"/>
        </w:rPr>
        <w:t xml:space="preserve"> Lo Ejecutado se registra</w:t>
      </w:r>
      <w:r>
        <w:rPr>
          <w:rFonts w:ascii="Verdana" w:hAnsi="Verdana"/>
        </w:rPr>
        <w:t xml:space="preserve"> a nivel global en la Administración Central.</w:t>
      </w:r>
    </w:p>
    <w:p w:rsidR="00B33656" w:rsidRDefault="00B33656" w:rsidP="00934B0D">
      <w:pPr>
        <w:spacing w:line="360" w:lineRule="auto"/>
        <w:ind w:left="720"/>
        <w:jc w:val="both"/>
        <w:rPr>
          <w:rFonts w:ascii="Verdana" w:hAnsi="Verdana"/>
        </w:rPr>
      </w:pPr>
    </w:p>
    <w:p w:rsidR="005A14FF" w:rsidRPr="00DC385E" w:rsidRDefault="009C42E6" w:rsidP="005A14FF">
      <w:pPr>
        <w:numPr>
          <w:ilvl w:val="0"/>
          <w:numId w:val="5"/>
        </w:numPr>
        <w:tabs>
          <w:tab w:val="clear" w:pos="786"/>
        </w:tabs>
        <w:spacing w:line="360" w:lineRule="auto"/>
        <w:ind w:left="709" w:hanging="425"/>
        <w:jc w:val="both"/>
        <w:rPr>
          <w:rFonts w:ascii="Verdana" w:hAnsi="Verdana"/>
        </w:rPr>
      </w:pPr>
      <w:r w:rsidRPr="00C87007">
        <w:rPr>
          <w:rFonts w:ascii="Verdana" w:hAnsi="Verdana"/>
          <w:color w:val="000000"/>
        </w:rPr>
        <w:t xml:space="preserve">Los </w:t>
      </w:r>
      <w:r w:rsidRPr="00C87007">
        <w:rPr>
          <w:rFonts w:ascii="Verdana" w:hAnsi="Verdana"/>
          <w:b/>
          <w:color w:val="000000"/>
          <w:u w:val="single"/>
        </w:rPr>
        <w:t>Gastos Corrientes:</w:t>
      </w:r>
      <w:r w:rsidRPr="00C87007">
        <w:rPr>
          <w:rFonts w:ascii="Verdana" w:hAnsi="Verdana"/>
          <w:color w:val="000000"/>
        </w:rPr>
        <w:t xml:space="preserve"> </w:t>
      </w:r>
      <w:r w:rsidR="005A14FF">
        <w:rPr>
          <w:rFonts w:ascii="Verdana" w:hAnsi="Verdana"/>
          <w:color w:val="000000"/>
        </w:rPr>
        <w:t>En el presente trimestre se registró el devengado de los</w:t>
      </w:r>
      <w:r w:rsidR="005A14FF">
        <w:rPr>
          <w:rFonts w:ascii="Verdana" w:hAnsi="Verdana"/>
          <w:color w:val="000000"/>
        </w:rPr>
        <w:t xml:space="preserve"> </w:t>
      </w:r>
      <w:r w:rsidR="005A14FF">
        <w:rPr>
          <w:rFonts w:ascii="Verdana" w:hAnsi="Verdana"/>
          <w:color w:val="000000"/>
        </w:rPr>
        <w:t xml:space="preserve">gastos y servicios prestados </w:t>
      </w:r>
      <w:r w:rsidR="0000564B">
        <w:rPr>
          <w:rFonts w:ascii="Verdana" w:hAnsi="Verdana"/>
          <w:color w:val="000000"/>
        </w:rPr>
        <w:t xml:space="preserve">en menor cuantía </w:t>
      </w:r>
      <w:r w:rsidR="00A63129">
        <w:rPr>
          <w:rFonts w:ascii="Verdana" w:hAnsi="Verdana"/>
          <w:color w:val="000000"/>
        </w:rPr>
        <w:t>atento a los días que los proveedores cuenta</w:t>
      </w:r>
      <w:r w:rsidR="00C77351">
        <w:rPr>
          <w:rFonts w:ascii="Verdana" w:hAnsi="Verdana"/>
          <w:color w:val="000000"/>
        </w:rPr>
        <w:t>n</w:t>
      </w:r>
      <w:r w:rsidR="00A63129">
        <w:rPr>
          <w:rFonts w:ascii="Verdana" w:hAnsi="Verdana"/>
          <w:color w:val="000000"/>
        </w:rPr>
        <w:t xml:space="preserve"> para presentar la factura</w:t>
      </w:r>
      <w:r w:rsidR="00C77351">
        <w:rPr>
          <w:rFonts w:ascii="Verdana" w:hAnsi="Verdana"/>
          <w:color w:val="000000"/>
        </w:rPr>
        <w:t>,</w:t>
      </w:r>
      <w:r w:rsidR="00A63129">
        <w:rPr>
          <w:rFonts w:ascii="Verdana" w:hAnsi="Verdana"/>
          <w:color w:val="000000"/>
        </w:rPr>
        <w:t xml:space="preserve"> una vez prestado el servicio</w:t>
      </w:r>
      <w:r w:rsidR="00C77351">
        <w:rPr>
          <w:rFonts w:ascii="Verdana" w:hAnsi="Verdana"/>
          <w:color w:val="000000"/>
        </w:rPr>
        <w:t>,</w:t>
      </w:r>
      <w:r w:rsidR="00A63129">
        <w:rPr>
          <w:rFonts w:ascii="Verdana" w:hAnsi="Verdana"/>
          <w:color w:val="000000"/>
        </w:rPr>
        <w:t xml:space="preserve"> como por ejemplo gastos de Limpieza, comisiones, adquisición de bienes </w:t>
      </w:r>
      <w:r w:rsidR="0000564B">
        <w:rPr>
          <w:rFonts w:ascii="Verdana" w:hAnsi="Verdana"/>
          <w:color w:val="000000"/>
        </w:rPr>
        <w:t>los cuales impacta</w:t>
      </w:r>
      <w:r w:rsidR="00A63129">
        <w:rPr>
          <w:rFonts w:ascii="Verdana" w:hAnsi="Verdana"/>
          <w:color w:val="000000"/>
        </w:rPr>
        <w:t>rán en lo</w:t>
      </w:r>
      <w:r w:rsidR="0000564B">
        <w:rPr>
          <w:rFonts w:ascii="Verdana" w:hAnsi="Verdana"/>
          <w:color w:val="000000"/>
        </w:rPr>
        <w:t>s próximos trimestres</w:t>
      </w:r>
      <w:r w:rsidR="00C77351">
        <w:rPr>
          <w:rFonts w:ascii="Verdana" w:hAnsi="Verdana"/>
          <w:color w:val="000000"/>
        </w:rPr>
        <w:t>;</w:t>
      </w:r>
      <w:r w:rsidR="005A14FF">
        <w:rPr>
          <w:rFonts w:ascii="Verdana" w:hAnsi="Verdana"/>
          <w:color w:val="000000"/>
        </w:rPr>
        <w:t xml:space="preserve"> por tal motivo,  lo ejecutado es </w:t>
      </w:r>
      <w:r w:rsidR="0000564B">
        <w:rPr>
          <w:rFonts w:ascii="Verdana" w:hAnsi="Verdana"/>
          <w:color w:val="000000"/>
        </w:rPr>
        <w:t>menor</w:t>
      </w:r>
      <w:r w:rsidR="005A14FF">
        <w:rPr>
          <w:rFonts w:ascii="Verdana" w:hAnsi="Verdana"/>
          <w:color w:val="000000"/>
        </w:rPr>
        <w:t xml:space="preserve"> a lo programado.</w:t>
      </w:r>
      <w:r w:rsidR="005A14FF" w:rsidRPr="00DC385E">
        <w:rPr>
          <w:rFonts w:ascii="Verdana" w:hAnsi="Verdana"/>
          <w:color w:val="000000"/>
        </w:rPr>
        <w:t xml:space="preserve"> </w:t>
      </w:r>
    </w:p>
    <w:p w:rsidR="005A14FF" w:rsidRDefault="005A14FF" w:rsidP="005A14FF">
      <w:pPr>
        <w:spacing w:line="360" w:lineRule="auto"/>
        <w:ind w:left="709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Otro factor a tener en cuenta es  la Coparticipación a los Municipios atento que la  registración de   la segunda quincena correspondiente al  del mes de </w:t>
      </w:r>
      <w:r w:rsidR="0000564B">
        <w:rPr>
          <w:rFonts w:ascii="Verdana" w:hAnsi="Verdana"/>
          <w:color w:val="000000"/>
        </w:rPr>
        <w:t>marzo</w:t>
      </w:r>
      <w:r>
        <w:rPr>
          <w:rFonts w:ascii="Verdana" w:hAnsi="Verdana"/>
          <w:color w:val="000000"/>
        </w:rPr>
        <w:t xml:space="preserve"> 202</w:t>
      </w:r>
      <w:r w:rsidR="0000564B">
        <w:rPr>
          <w:rFonts w:ascii="Verdana" w:hAnsi="Verdana"/>
          <w:color w:val="000000"/>
        </w:rPr>
        <w:t>2</w:t>
      </w:r>
      <w:r>
        <w:rPr>
          <w:rFonts w:ascii="Verdana" w:hAnsi="Verdana"/>
          <w:color w:val="000000"/>
        </w:rPr>
        <w:t xml:space="preserve"> impacta en el  </w:t>
      </w:r>
      <w:r w:rsidR="0000564B">
        <w:rPr>
          <w:rFonts w:ascii="Verdana" w:hAnsi="Verdana"/>
          <w:color w:val="000000"/>
        </w:rPr>
        <w:t>2do</w:t>
      </w:r>
      <w:r>
        <w:rPr>
          <w:rFonts w:ascii="Verdana" w:hAnsi="Verdana"/>
          <w:color w:val="000000"/>
        </w:rPr>
        <w:t xml:space="preserve"> trimestre; sumando a ello las fluctuaciones de los recursos por la coparticipación Nacional percibidos por la Provincia.</w:t>
      </w:r>
    </w:p>
    <w:p w:rsidR="00A63129" w:rsidRDefault="00A63129" w:rsidP="005A14FF">
      <w:pPr>
        <w:spacing w:line="360" w:lineRule="auto"/>
        <w:ind w:left="709"/>
        <w:jc w:val="both"/>
        <w:rPr>
          <w:rFonts w:ascii="Verdana" w:hAnsi="Verdana"/>
          <w:color w:val="000000"/>
        </w:rPr>
      </w:pPr>
    </w:p>
    <w:p w:rsidR="00B33656" w:rsidRPr="00B33656" w:rsidRDefault="009C42E6" w:rsidP="00B33656">
      <w:pPr>
        <w:numPr>
          <w:ilvl w:val="0"/>
          <w:numId w:val="5"/>
        </w:numPr>
        <w:spacing w:line="360" w:lineRule="auto"/>
        <w:ind w:left="720"/>
        <w:jc w:val="both"/>
        <w:rPr>
          <w:rFonts w:ascii="Verdana" w:hAnsi="Verdana"/>
        </w:rPr>
      </w:pPr>
      <w:r w:rsidRPr="00B33656">
        <w:rPr>
          <w:rFonts w:ascii="Verdana" w:hAnsi="Verdana"/>
        </w:rPr>
        <w:t xml:space="preserve">Los </w:t>
      </w:r>
      <w:r w:rsidRPr="00B33656">
        <w:rPr>
          <w:rFonts w:ascii="Verdana" w:hAnsi="Verdana"/>
          <w:b/>
          <w:u w:val="single"/>
        </w:rPr>
        <w:t>Recursos de Capital:</w:t>
      </w:r>
      <w:r w:rsidRPr="00B33656">
        <w:rPr>
          <w:rFonts w:ascii="Verdana" w:hAnsi="Verdana"/>
        </w:rPr>
        <w:t xml:space="preserve"> </w:t>
      </w:r>
      <w:r w:rsidR="00C87007" w:rsidRPr="00B33656">
        <w:rPr>
          <w:rFonts w:ascii="Verdana" w:hAnsi="Verdana"/>
        </w:rPr>
        <w:t xml:space="preserve">Se ejecutaron en el CUC 26 correspondiente a la DAABO </w:t>
      </w:r>
      <w:r w:rsidR="00C87007">
        <w:rPr>
          <w:rFonts w:ascii="Verdana" w:hAnsi="Verdana"/>
        </w:rPr>
        <w:t>“</w:t>
      </w:r>
      <w:r w:rsidR="00C87007" w:rsidRPr="008A5780">
        <w:rPr>
          <w:rFonts w:ascii="Verdana" w:hAnsi="Verdana"/>
          <w:b/>
        </w:rPr>
        <w:t>Recupero de Créditos</w:t>
      </w:r>
      <w:r w:rsidR="00C87007">
        <w:rPr>
          <w:rFonts w:ascii="Verdana" w:hAnsi="Verdana"/>
        </w:rPr>
        <w:t>”</w:t>
      </w:r>
      <w:r w:rsidR="00C87007" w:rsidRPr="00B33656">
        <w:rPr>
          <w:rFonts w:ascii="Verdana" w:hAnsi="Verdana"/>
        </w:rPr>
        <w:t xml:space="preserve"> por un importe de $</w:t>
      </w:r>
      <w:r w:rsidR="00235AB1">
        <w:rPr>
          <w:rFonts w:ascii="Verdana" w:hAnsi="Verdana"/>
        </w:rPr>
        <w:t xml:space="preserve">5.599,30 </w:t>
      </w:r>
      <w:r w:rsidR="00C87007" w:rsidRPr="00B33656">
        <w:rPr>
          <w:rFonts w:ascii="Verdana" w:hAnsi="Verdana"/>
        </w:rPr>
        <w:t>(Pesos</w:t>
      </w:r>
      <w:r w:rsidR="00235AB1">
        <w:rPr>
          <w:rFonts w:ascii="Verdana" w:hAnsi="Verdana"/>
        </w:rPr>
        <w:t xml:space="preserve"> cinco</w:t>
      </w:r>
      <w:r w:rsidR="00A63129">
        <w:rPr>
          <w:rFonts w:ascii="Verdana" w:hAnsi="Verdana"/>
        </w:rPr>
        <w:t xml:space="preserve"> mil quinientos noventa y nueve </w:t>
      </w:r>
      <w:r w:rsidR="00C87007" w:rsidRPr="00B33656">
        <w:rPr>
          <w:rFonts w:ascii="Verdana" w:hAnsi="Verdana"/>
        </w:rPr>
        <w:t xml:space="preserve">con </w:t>
      </w:r>
      <w:r w:rsidR="00235AB1">
        <w:rPr>
          <w:rFonts w:ascii="Verdana" w:hAnsi="Verdana"/>
        </w:rPr>
        <w:t>3</w:t>
      </w:r>
      <w:r w:rsidR="0000564B">
        <w:rPr>
          <w:rFonts w:ascii="Verdana" w:hAnsi="Verdana"/>
        </w:rPr>
        <w:t>0</w:t>
      </w:r>
      <w:r w:rsidR="00C87007">
        <w:rPr>
          <w:rFonts w:ascii="Verdana" w:hAnsi="Verdana"/>
        </w:rPr>
        <w:t>/</w:t>
      </w:r>
      <w:r w:rsidR="00C87007" w:rsidRPr="00B33656">
        <w:rPr>
          <w:rFonts w:ascii="Verdana" w:hAnsi="Verdana"/>
        </w:rPr>
        <w:t>100),</w:t>
      </w:r>
      <w:r w:rsidR="00C87007">
        <w:rPr>
          <w:rFonts w:ascii="Verdana" w:hAnsi="Verdana"/>
        </w:rPr>
        <w:t xml:space="preserve"> </w:t>
      </w:r>
      <w:r w:rsidR="00C87007" w:rsidRPr="008A5780">
        <w:rPr>
          <w:rFonts w:ascii="Verdana" w:hAnsi="Verdana"/>
          <w:b/>
        </w:rPr>
        <w:t>“Ventas de Activos</w:t>
      </w:r>
      <w:r w:rsidR="00C87007">
        <w:rPr>
          <w:rFonts w:ascii="Verdana" w:hAnsi="Verdana"/>
        </w:rPr>
        <w:t>”</w:t>
      </w:r>
      <w:r w:rsidR="00C87007" w:rsidRPr="00B33656">
        <w:rPr>
          <w:rFonts w:ascii="Verdana" w:hAnsi="Verdana"/>
        </w:rPr>
        <w:t xml:space="preserve"> por un importe de </w:t>
      </w:r>
      <w:r w:rsidR="00235AB1" w:rsidRPr="00B33656">
        <w:rPr>
          <w:rFonts w:ascii="Verdana" w:hAnsi="Verdana"/>
        </w:rPr>
        <w:t>$</w:t>
      </w:r>
      <w:r w:rsidR="00235AB1">
        <w:rPr>
          <w:rFonts w:ascii="Verdana" w:hAnsi="Verdana"/>
        </w:rPr>
        <w:t>1.375.836,70</w:t>
      </w:r>
      <w:r w:rsidR="00235AB1" w:rsidRPr="00B33656">
        <w:rPr>
          <w:rFonts w:ascii="Verdana" w:hAnsi="Verdana"/>
        </w:rPr>
        <w:t xml:space="preserve"> (Pesos </w:t>
      </w:r>
      <w:r w:rsidR="00235AB1">
        <w:rPr>
          <w:rFonts w:ascii="Verdana" w:hAnsi="Verdana"/>
        </w:rPr>
        <w:t xml:space="preserve">un millón trescientos setenta y cinco mil ochocientos treinta y </w:t>
      </w:r>
      <w:r w:rsidR="00235AB1">
        <w:rPr>
          <w:rFonts w:ascii="Verdana" w:hAnsi="Verdana"/>
        </w:rPr>
        <w:lastRenderedPageBreak/>
        <w:t xml:space="preserve">seis </w:t>
      </w:r>
      <w:r w:rsidR="00235AB1" w:rsidRPr="00B33656">
        <w:rPr>
          <w:rFonts w:ascii="Verdana" w:hAnsi="Verdana"/>
        </w:rPr>
        <w:t xml:space="preserve">con </w:t>
      </w:r>
      <w:r w:rsidR="00235AB1">
        <w:rPr>
          <w:rFonts w:ascii="Verdana" w:hAnsi="Verdana"/>
        </w:rPr>
        <w:t>70/</w:t>
      </w:r>
      <w:r w:rsidR="00235AB1" w:rsidRPr="00B33656">
        <w:rPr>
          <w:rFonts w:ascii="Verdana" w:hAnsi="Verdana"/>
        </w:rPr>
        <w:t>100</w:t>
      </w:r>
      <w:r w:rsidR="00C87007" w:rsidRPr="00B33656">
        <w:rPr>
          <w:rFonts w:ascii="Verdana" w:hAnsi="Verdana"/>
        </w:rPr>
        <w:t>). Con respecto a estos recursos de la DABBO, el organismo no ha realizado la programación en el ejercicio, concluyendo con un recurso a favor</w:t>
      </w:r>
      <w:r w:rsidR="0006121F">
        <w:rPr>
          <w:rFonts w:ascii="Verdana" w:hAnsi="Verdana"/>
        </w:rPr>
        <w:t>.</w:t>
      </w:r>
      <w:r w:rsidR="00B33656" w:rsidRPr="00B33656">
        <w:rPr>
          <w:rFonts w:ascii="Verdana" w:hAnsi="Verdana"/>
        </w:rPr>
        <w:t xml:space="preserve"> </w:t>
      </w:r>
    </w:p>
    <w:p w:rsidR="00B33656" w:rsidRDefault="00B33656" w:rsidP="00B33656">
      <w:pPr>
        <w:spacing w:line="360" w:lineRule="auto"/>
        <w:ind w:left="720"/>
        <w:jc w:val="both"/>
        <w:rPr>
          <w:rFonts w:ascii="Verdana" w:hAnsi="Verdana"/>
        </w:rPr>
      </w:pPr>
    </w:p>
    <w:p w:rsidR="00B33656" w:rsidRPr="00216C08" w:rsidRDefault="00B33656" w:rsidP="0006121F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 w:cs="Calibri"/>
          <w:color w:val="000000"/>
          <w:lang w:val="es-AR" w:eastAsia="es-AR"/>
        </w:rPr>
      </w:pPr>
      <w:r w:rsidRPr="00C83304">
        <w:rPr>
          <w:rFonts w:ascii="Verdana" w:hAnsi="Verdana"/>
        </w:rPr>
        <w:t xml:space="preserve"> </w:t>
      </w:r>
      <w:r w:rsidRPr="00C83304">
        <w:rPr>
          <w:rFonts w:ascii="Verdana" w:hAnsi="Verdana"/>
          <w:color w:val="000000"/>
        </w:rPr>
        <w:t xml:space="preserve">Los </w:t>
      </w:r>
      <w:r w:rsidRPr="00C83304">
        <w:rPr>
          <w:rFonts w:ascii="Verdana" w:hAnsi="Verdana"/>
          <w:b/>
          <w:color w:val="000000"/>
          <w:u w:val="single"/>
        </w:rPr>
        <w:t>Gastos de Capital:</w:t>
      </w:r>
      <w:r w:rsidRPr="00C83304">
        <w:rPr>
          <w:rFonts w:ascii="Verdana" w:hAnsi="Verdana"/>
          <w:color w:val="000000"/>
        </w:rPr>
        <w:t xml:space="preserve">  </w:t>
      </w:r>
      <w:r w:rsidR="0006121F" w:rsidRPr="00C83304">
        <w:rPr>
          <w:rFonts w:ascii="Verdana" w:hAnsi="Verdana"/>
          <w:color w:val="000000"/>
        </w:rPr>
        <w:t xml:space="preserve"> </w:t>
      </w:r>
      <w:r w:rsidR="00235AB1" w:rsidRPr="00C83304">
        <w:rPr>
          <w:rFonts w:ascii="Verdana" w:hAnsi="Verdana"/>
          <w:color w:val="000000"/>
        </w:rPr>
        <w:t>En el presente trimestre, en este concepto  se ejecutaron erogaciones de capital por el</w:t>
      </w:r>
      <w:r w:rsidR="00235AB1" w:rsidRPr="00C83304">
        <w:rPr>
          <w:rFonts w:ascii="Verdana" w:hAnsi="Verdana"/>
        </w:rPr>
        <w:t xml:space="preserve"> monto de $</w:t>
      </w:r>
      <w:r w:rsidR="00235AB1" w:rsidRPr="00C83304">
        <w:rPr>
          <w:rFonts w:ascii="Verdana" w:hAnsi="Verdana"/>
        </w:rPr>
        <w:t xml:space="preserve">294.517,23 </w:t>
      </w:r>
      <w:r w:rsidR="00235AB1" w:rsidRPr="00C83304">
        <w:rPr>
          <w:rFonts w:ascii="Verdana" w:hAnsi="Verdana"/>
        </w:rPr>
        <w:t>(</w:t>
      </w:r>
      <w:r w:rsidR="00C83304" w:rsidRPr="00C83304">
        <w:rPr>
          <w:rFonts w:ascii="Verdana" w:hAnsi="Verdana"/>
        </w:rPr>
        <w:t>pesos d</w:t>
      </w:r>
      <w:r w:rsidR="00235AB1" w:rsidRPr="00C83304">
        <w:rPr>
          <w:rFonts w:ascii="Verdana" w:hAnsi="Verdana"/>
        </w:rPr>
        <w:t>oscientos noventa y cuatro mil quinientos diecisiete</w:t>
      </w:r>
      <w:r w:rsidR="00235AB1" w:rsidRPr="00C83304">
        <w:rPr>
          <w:rFonts w:ascii="Verdana" w:hAnsi="Verdana"/>
        </w:rPr>
        <w:t xml:space="preserve"> con 2</w:t>
      </w:r>
      <w:r w:rsidR="00235AB1" w:rsidRPr="00C83304">
        <w:rPr>
          <w:rFonts w:ascii="Verdana" w:hAnsi="Verdana"/>
        </w:rPr>
        <w:t>3</w:t>
      </w:r>
      <w:r w:rsidR="00235AB1" w:rsidRPr="00C83304">
        <w:rPr>
          <w:rFonts w:ascii="Verdana" w:hAnsi="Verdana"/>
        </w:rPr>
        <w:t xml:space="preserve">/100); que corresponde a </w:t>
      </w:r>
      <w:r w:rsidR="00235AB1" w:rsidRPr="00C83304">
        <w:rPr>
          <w:rFonts w:ascii="Verdana" w:hAnsi="Verdana"/>
          <w:b/>
        </w:rPr>
        <w:t>diversas compras de Bienes de Capital</w:t>
      </w:r>
      <w:r w:rsidR="00235AB1" w:rsidRPr="00C83304">
        <w:rPr>
          <w:rFonts w:ascii="Verdana" w:hAnsi="Verdana"/>
        </w:rPr>
        <w:t>: 1)</w:t>
      </w:r>
      <w:r w:rsidR="00A63129">
        <w:rPr>
          <w:rFonts w:ascii="Verdana" w:hAnsi="Verdana"/>
        </w:rPr>
        <w:t xml:space="preserve"> Una</w:t>
      </w:r>
      <w:r w:rsidR="00235AB1" w:rsidRPr="00C83304">
        <w:rPr>
          <w:rFonts w:ascii="Verdana" w:hAnsi="Verdana"/>
        </w:rPr>
        <w:t xml:space="preserve"> </w:t>
      </w:r>
      <w:r w:rsidR="00235AB1" w:rsidRPr="00C83304">
        <w:rPr>
          <w:rFonts w:ascii="Verdana" w:hAnsi="Verdana"/>
        </w:rPr>
        <w:t xml:space="preserve">Licencia Office </w:t>
      </w:r>
      <w:r w:rsidR="00C83304" w:rsidRPr="00C83304">
        <w:rPr>
          <w:rFonts w:ascii="Verdana" w:hAnsi="Verdana"/>
        </w:rPr>
        <w:t>para la oficina del Ministro de</w:t>
      </w:r>
      <w:r w:rsidR="00235AB1" w:rsidRPr="00C83304">
        <w:rPr>
          <w:rFonts w:ascii="Verdana" w:hAnsi="Verdana"/>
        </w:rPr>
        <w:t>l</w:t>
      </w:r>
      <w:r w:rsidR="00235AB1" w:rsidRPr="00C83304">
        <w:rPr>
          <w:rFonts w:ascii="Verdana" w:hAnsi="Verdana"/>
        </w:rPr>
        <w:t xml:space="preserve"> Ministerio de Hacienda y Finanzas por un monto de $2</w:t>
      </w:r>
      <w:r w:rsidR="00235AB1" w:rsidRPr="00C83304">
        <w:rPr>
          <w:rFonts w:ascii="Verdana" w:hAnsi="Verdana"/>
        </w:rPr>
        <w:t>9.987</w:t>
      </w:r>
      <w:r w:rsidR="00235AB1" w:rsidRPr="00C83304">
        <w:rPr>
          <w:rFonts w:ascii="Verdana" w:hAnsi="Verdana"/>
        </w:rPr>
        <w:t>,00 (</w:t>
      </w:r>
      <w:r w:rsidR="00C83304" w:rsidRPr="00C83304">
        <w:rPr>
          <w:rFonts w:ascii="Verdana" w:hAnsi="Verdana"/>
        </w:rPr>
        <w:t xml:space="preserve">pesos </w:t>
      </w:r>
      <w:r w:rsidR="00235AB1" w:rsidRPr="00C83304">
        <w:rPr>
          <w:rFonts w:ascii="Verdana" w:hAnsi="Verdana"/>
        </w:rPr>
        <w:t>vein</w:t>
      </w:r>
      <w:r w:rsidR="00235AB1" w:rsidRPr="00C83304">
        <w:rPr>
          <w:rFonts w:ascii="Verdana" w:hAnsi="Verdana"/>
        </w:rPr>
        <w:t>tinueve mil novecientos ochenta y siete</w:t>
      </w:r>
      <w:r w:rsidR="00235AB1" w:rsidRPr="00C83304">
        <w:rPr>
          <w:rFonts w:ascii="Verdana" w:hAnsi="Verdana"/>
        </w:rPr>
        <w:t xml:space="preserve"> con 00/100),</w:t>
      </w:r>
      <w:r w:rsidR="00C83304" w:rsidRPr="00C83304">
        <w:rPr>
          <w:rFonts w:ascii="Verdana" w:hAnsi="Verdana"/>
        </w:rPr>
        <w:t xml:space="preserve"> 2) Dos</w:t>
      </w:r>
      <w:r w:rsidR="00C83304" w:rsidRPr="00C83304">
        <w:rPr>
          <w:rFonts w:ascii="Verdana" w:hAnsi="Verdana"/>
        </w:rPr>
        <w:t xml:space="preserve"> </w:t>
      </w:r>
      <w:r w:rsidR="00A63129">
        <w:rPr>
          <w:rFonts w:ascii="Verdana" w:hAnsi="Verdana"/>
        </w:rPr>
        <w:t>A</w:t>
      </w:r>
      <w:r w:rsidR="00C83304" w:rsidRPr="00C83304">
        <w:rPr>
          <w:rFonts w:ascii="Verdana" w:hAnsi="Verdana"/>
        </w:rPr>
        <w:t>ire</w:t>
      </w:r>
      <w:r w:rsidR="00A63129">
        <w:rPr>
          <w:rFonts w:ascii="Verdana" w:hAnsi="Verdana"/>
        </w:rPr>
        <w:t>s</w:t>
      </w:r>
      <w:r w:rsidR="00C83304" w:rsidRPr="00C83304">
        <w:rPr>
          <w:rFonts w:ascii="Verdana" w:hAnsi="Verdana"/>
        </w:rPr>
        <w:t xml:space="preserve"> Acondicionado</w:t>
      </w:r>
      <w:r w:rsidR="00C83304" w:rsidRPr="00C83304">
        <w:rPr>
          <w:rFonts w:ascii="Verdana" w:hAnsi="Verdana"/>
        </w:rPr>
        <w:t>s</w:t>
      </w:r>
      <w:r w:rsidR="00C83304" w:rsidRPr="00C83304">
        <w:rPr>
          <w:rFonts w:ascii="Verdana" w:hAnsi="Verdana"/>
        </w:rPr>
        <w:t xml:space="preserve"> para</w:t>
      </w:r>
      <w:r w:rsidR="00C77351">
        <w:rPr>
          <w:rFonts w:ascii="Verdana" w:hAnsi="Verdana"/>
        </w:rPr>
        <w:t xml:space="preserve"> la</w:t>
      </w:r>
      <w:r w:rsidR="00C83304" w:rsidRPr="00C83304">
        <w:rPr>
          <w:rFonts w:ascii="Verdana" w:hAnsi="Verdana"/>
        </w:rPr>
        <w:t xml:space="preserve"> </w:t>
      </w:r>
      <w:r w:rsidR="00C83304" w:rsidRPr="00C83304">
        <w:rPr>
          <w:rFonts w:ascii="Verdana" w:hAnsi="Verdana"/>
        </w:rPr>
        <w:t>Oficina de Secretaria General del Ministerio de Hacienda y Finanzas</w:t>
      </w:r>
      <w:r w:rsidR="00C83304" w:rsidRPr="00C83304">
        <w:rPr>
          <w:rFonts w:ascii="Verdana" w:hAnsi="Verdana"/>
        </w:rPr>
        <w:t xml:space="preserve"> por un monto de $</w:t>
      </w:r>
      <w:r w:rsidR="00C83304" w:rsidRPr="00C83304">
        <w:rPr>
          <w:rFonts w:ascii="Verdana" w:hAnsi="Verdana"/>
        </w:rPr>
        <w:t>199.998</w:t>
      </w:r>
      <w:r w:rsidR="00C83304" w:rsidRPr="00C83304">
        <w:rPr>
          <w:rFonts w:ascii="Verdana" w:hAnsi="Verdana"/>
        </w:rPr>
        <w:t>,</w:t>
      </w:r>
      <w:r w:rsidR="00C83304" w:rsidRPr="00C83304">
        <w:rPr>
          <w:rFonts w:ascii="Verdana" w:hAnsi="Verdana"/>
        </w:rPr>
        <w:t>00</w:t>
      </w:r>
      <w:r w:rsidR="00C83304" w:rsidRPr="00C83304">
        <w:rPr>
          <w:rFonts w:ascii="Verdana" w:hAnsi="Verdana"/>
        </w:rPr>
        <w:t xml:space="preserve"> (</w:t>
      </w:r>
      <w:r w:rsidR="00C83304" w:rsidRPr="00C83304">
        <w:rPr>
          <w:rFonts w:ascii="Verdana" w:hAnsi="Verdana"/>
        </w:rPr>
        <w:t>pesos</w:t>
      </w:r>
      <w:r w:rsidR="00C83304" w:rsidRPr="00C83304">
        <w:rPr>
          <w:rFonts w:ascii="Verdana" w:hAnsi="Verdana"/>
        </w:rPr>
        <w:t xml:space="preserve"> </w:t>
      </w:r>
      <w:r w:rsidR="00C83304" w:rsidRPr="00C83304">
        <w:rPr>
          <w:rFonts w:ascii="Verdana" w:hAnsi="Verdana"/>
        </w:rPr>
        <w:t>ciento nueve mil novecientos noventa y ocho</w:t>
      </w:r>
      <w:r w:rsidR="00C83304" w:rsidRPr="00C83304">
        <w:rPr>
          <w:rFonts w:ascii="Verdana" w:hAnsi="Verdana"/>
        </w:rPr>
        <w:t xml:space="preserve"> con </w:t>
      </w:r>
      <w:r w:rsidR="00C83304" w:rsidRPr="00C83304">
        <w:rPr>
          <w:rFonts w:ascii="Verdana" w:hAnsi="Verdana"/>
        </w:rPr>
        <w:t>00</w:t>
      </w:r>
      <w:r w:rsidR="00C83304" w:rsidRPr="00C83304">
        <w:rPr>
          <w:rFonts w:ascii="Verdana" w:hAnsi="Verdana"/>
        </w:rPr>
        <w:t xml:space="preserve">/100) </w:t>
      </w:r>
      <w:r w:rsidR="00C83304" w:rsidRPr="00C83304">
        <w:rPr>
          <w:rFonts w:ascii="Verdana" w:hAnsi="Verdana"/>
        </w:rPr>
        <w:t>3</w:t>
      </w:r>
      <w:r w:rsidR="00235AB1" w:rsidRPr="00C83304">
        <w:rPr>
          <w:rFonts w:ascii="Verdana" w:hAnsi="Verdana"/>
        </w:rPr>
        <w:t xml:space="preserve">) </w:t>
      </w:r>
      <w:r w:rsidR="00A63129">
        <w:rPr>
          <w:rFonts w:ascii="Verdana" w:hAnsi="Verdana"/>
        </w:rPr>
        <w:t xml:space="preserve">Un </w:t>
      </w:r>
      <w:r w:rsidR="00235AB1" w:rsidRPr="00C83304">
        <w:rPr>
          <w:rFonts w:ascii="Verdana" w:hAnsi="Verdana"/>
        </w:rPr>
        <w:t xml:space="preserve">Aire Acondicionado para Tesorería General de la Provincia por un monto de $64.532,23 ( </w:t>
      </w:r>
      <w:r w:rsidR="00C83304" w:rsidRPr="00C83304">
        <w:rPr>
          <w:rFonts w:ascii="Verdana" w:hAnsi="Verdana"/>
        </w:rPr>
        <w:t xml:space="preserve">pesos </w:t>
      </w:r>
      <w:r w:rsidR="00235AB1" w:rsidRPr="00C83304">
        <w:rPr>
          <w:rFonts w:ascii="Verdana" w:hAnsi="Verdana"/>
        </w:rPr>
        <w:t>sesenta y cuatro mil quinientos treinta y dos con 23/100</w:t>
      </w:r>
      <w:r w:rsidR="00C77351">
        <w:rPr>
          <w:rFonts w:ascii="Verdana" w:hAnsi="Verdana"/>
        </w:rPr>
        <w:t>, no obstante lo programado es</w:t>
      </w:r>
      <w:r w:rsidR="00A63129">
        <w:rPr>
          <w:rFonts w:ascii="Verdana" w:hAnsi="Verdana"/>
        </w:rPr>
        <w:t xml:space="preserve"> mayor a lo ejecutado.</w:t>
      </w:r>
    </w:p>
    <w:p w:rsidR="00216C08" w:rsidRDefault="00216C08" w:rsidP="00216C08">
      <w:pPr>
        <w:pStyle w:val="Prrafodelista"/>
        <w:rPr>
          <w:rFonts w:ascii="Verdana" w:hAnsi="Verdana" w:cs="Calibri"/>
          <w:color w:val="000000"/>
          <w:lang w:val="es-AR" w:eastAsia="es-AR"/>
        </w:rPr>
      </w:pPr>
    </w:p>
    <w:p w:rsidR="00346CA3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>Recursos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</w:t>
      </w:r>
      <w:r w:rsidRPr="005B7007">
        <w:rPr>
          <w:rFonts w:ascii="Verdana" w:hAnsi="Verdana"/>
          <w:b/>
          <w:u w:val="single"/>
        </w:rPr>
        <w:t>:</w:t>
      </w:r>
      <w:r w:rsidRPr="005B7007">
        <w:rPr>
          <w:rFonts w:ascii="Verdana" w:hAnsi="Verdana"/>
          <w:b/>
        </w:rPr>
        <w:t xml:space="preserve"> </w:t>
      </w:r>
      <w:r w:rsidR="003722E0" w:rsidRPr="008A5780">
        <w:rPr>
          <w:rFonts w:ascii="Verdana" w:hAnsi="Verdana"/>
        </w:rPr>
        <w:t>Con respecto  a este Recurso Figurativo    “</w:t>
      </w:r>
      <w:r w:rsidR="003722E0" w:rsidRPr="008A5780">
        <w:rPr>
          <w:rFonts w:ascii="Verdana" w:hAnsi="Verdana"/>
          <w:b/>
        </w:rPr>
        <w:t>Fin.176 –  Fondo Instituto de Juegos y Casinos para programas de Salud”</w:t>
      </w:r>
      <w:r w:rsidR="003722E0" w:rsidRPr="008A5780">
        <w:rPr>
          <w:rFonts w:ascii="Verdana" w:hAnsi="Verdana"/>
        </w:rPr>
        <w:t xml:space="preserve">, corresponden a  las erogaciones figurativas para el Hospital </w:t>
      </w:r>
      <w:proofErr w:type="spellStart"/>
      <w:r w:rsidR="003722E0" w:rsidRPr="008A5780">
        <w:rPr>
          <w:rFonts w:ascii="Verdana" w:hAnsi="Verdana"/>
        </w:rPr>
        <w:t>Notti</w:t>
      </w:r>
      <w:proofErr w:type="spellEnd"/>
      <w:r w:rsidR="003722E0" w:rsidRPr="008A5780">
        <w:rPr>
          <w:rFonts w:ascii="Verdana" w:hAnsi="Verdana"/>
        </w:rPr>
        <w:t xml:space="preserve">, quien ejecutará el gasto real con este financiamiento. El ingreso del Recurso  debe analizarse a nivel global en la Administración.                   </w:t>
      </w:r>
      <w:r w:rsidRPr="005B7007">
        <w:rPr>
          <w:rFonts w:ascii="Verdana" w:hAnsi="Verdana"/>
        </w:rPr>
        <w:t xml:space="preserve"> </w:t>
      </w:r>
    </w:p>
    <w:p w:rsidR="00136061" w:rsidRPr="005B7007" w:rsidRDefault="00136061" w:rsidP="00346CA3">
      <w:pPr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                       </w:t>
      </w:r>
    </w:p>
    <w:p w:rsidR="00346CA3" w:rsidRPr="00216C08" w:rsidRDefault="00136061" w:rsidP="00346CA3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3722E0">
        <w:rPr>
          <w:rFonts w:ascii="Verdana" w:hAnsi="Verdana"/>
        </w:rPr>
        <w:t xml:space="preserve">En </w:t>
      </w:r>
      <w:r w:rsidRPr="003722E0">
        <w:rPr>
          <w:rFonts w:ascii="Verdana" w:hAnsi="Verdana"/>
          <w:b/>
          <w:u w:val="single"/>
        </w:rPr>
        <w:t>Gastos Figurativos:</w:t>
      </w:r>
      <w:r w:rsidR="00606D2B" w:rsidRPr="003722E0">
        <w:rPr>
          <w:rFonts w:ascii="Verdana" w:hAnsi="Verdana"/>
          <w:b/>
          <w:u w:val="single"/>
        </w:rPr>
        <w:t xml:space="preserve"> </w:t>
      </w:r>
      <w:r w:rsidR="003722E0" w:rsidRPr="003722E0">
        <w:rPr>
          <w:rFonts w:ascii="Verdana" w:hAnsi="Verdana"/>
        </w:rPr>
        <w:t>El gasto figurativo es mayor al presupuestado, no obstante el análisis del presente gasto s</w:t>
      </w:r>
      <w:r w:rsidR="003722E0" w:rsidRPr="003722E0">
        <w:rPr>
          <w:rFonts w:ascii="Verdana" w:hAnsi="Verdana"/>
          <w:u w:val="single" w:color="FFFFFF" w:themeColor="background1"/>
        </w:rPr>
        <w:t xml:space="preserve">e realiza a </w:t>
      </w:r>
      <w:r w:rsidR="003722E0" w:rsidRPr="003722E0">
        <w:rPr>
          <w:rFonts w:ascii="Verdana" w:hAnsi="Verdana"/>
        </w:rPr>
        <w:t>nivel global en la Administración Central.</w:t>
      </w:r>
      <w:r w:rsidR="003722E0" w:rsidRPr="003722E0">
        <w:rPr>
          <w:rFonts w:ascii="Verdana" w:hAnsi="Verdana"/>
          <w:u w:val="single" w:color="FFFFFF" w:themeColor="background1"/>
        </w:rPr>
        <w:t xml:space="preserve"> </w:t>
      </w:r>
    </w:p>
    <w:p w:rsidR="00216C08" w:rsidRDefault="00216C08" w:rsidP="00216C08">
      <w:pPr>
        <w:pStyle w:val="Prrafodelista"/>
        <w:rPr>
          <w:rFonts w:ascii="Verdana" w:hAnsi="Verdana"/>
          <w:u w:color="FFFFFF" w:themeColor="background1"/>
        </w:rPr>
      </w:pPr>
    </w:p>
    <w:p w:rsidR="00606D2B" w:rsidRDefault="00136061" w:rsidP="00606D2B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C76620">
        <w:rPr>
          <w:rFonts w:ascii="Verdana" w:hAnsi="Verdana"/>
        </w:rPr>
        <w:t xml:space="preserve">En </w:t>
      </w:r>
      <w:r w:rsidRPr="00C76620">
        <w:rPr>
          <w:rFonts w:ascii="Verdana" w:hAnsi="Verdana"/>
          <w:b/>
          <w:u w:val="single"/>
        </w:rPr>
        <w:t>Fuentes de Financiamiento:</w:t>
      </w:r>
      <w:r w:rsidR="003722E0" w:rsidRPr="00C76620">
        <w:rPr>
          <w:rFonts w:ascii="Verdana" w:hAnsi="Verdana"/>
          <w:b/>
        </w:rPr>
        <w:t xml:space="preserve"> </w:t>
      </w:r>
      <w:r w:rsidR="003722E0" w:rsidRPr="00C76620">
        <w:rPr>
          <w:rFonts w:ascii="Verdana" w:hAnsi="Verdana"/>
        </w:rPr>
        <w:t xml:space="preserve">El  ingreso de la fuente de financiamiento respecto a lo programado </w:t>
      </w:r>
      <w:r w:rsidR="00A63129">
        <w:rPr>
          <w:rFonts w:ascii="Verdana" w:hAnsi="Verdana"/>
        </w:rPr>
        <w:t>se analiza</w:t>
      </w:r>
      <w:r w:rsidR="003722E0" w:rsidRPr="00C76620">
        <w:rPr>
          <w:rFonts w:ascii="Verdana" w:hAnsi="Verdana"/>
        </w:rPr>
        <w:t xml:space="preserve"> a nivel global en la Administración Centra</w:t>
      </w:r>
      <w:r w:rsidR="00C76620" w:rsidRPr="00C76620">
        <w:rPr>
          <w:rFonts w:ascii="Verdana" w:hAnsi="Verdana"/>
        </w:rPr>
        <w:t>l.</w:t>
      </w:r>
      <w:r w:rsidR="003722E0" w:rsidRPr="00C76620">
        <w:rPr>
          <w:rFonts w:ascii="Verdana" w:hAnsi="Verdana"/>
        </w:rPr>
        <w:t xml:space="preserve"> </w:t>
      </w:r>
    </w:p>
    <w:p w:rsidR="00216C08" w:rsidRDefault="00216C08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216C08" w:rsidRPr="00B40C4B" w:rsidRDefault="00216C08" w:rsidP="00216C08">
      <w:pPr>
        <w:spacing w:line="360" w:lineRule="auto"/>
        <w:ind w:left="644"/>
        <w:jc w:val="both"/>
        <w:rPr>
          <w:rFonts w:ascii="Verdana" w:hAnsi="Verdana"/>
        </w:rPr>
      </w:pPr>
    </w:p>
    <w:p w:rsidR="00CB5723" w:rsidRPr="00CB5723" w:rsidRDefault="00136061" w:rsidP="00BB10FC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BB10FC">
        <w:rPr>
          <w:rFonts w:ascii="Verdana" w:hAnsi="Verdana"/>
        </w:rPr>
        <w:t xml:space="preserve"> </w:t>
      </w:r>
      <w:r w:rsidR="00B33656" w:rsidRPr="00BB10FC">
        <w:rPr>
          <w:rFonts w:ascii="Verdana" w:hAnsi="Verdana"/>
          <w:color w:val="000000"/>
        </w:rPr>
        <w:t xml:space="preserve">En las </w:t>
      </w:r>
      <w:r w:rsidR="00B33656" w:rsidRPr="00BB10FC">
        <w:rPr>
          <w:rFonts w:ascii="Verdana" w:hAnsi="Verdana"/>
          <w:b/>
          <w:color w:val="000000"/>
          <w:u w:val="single"/>
        </w:rPr>
        <w:t>Aplicaciones Financieras:</w:t>
      </w:r>
      <w:r w:rsidR="00B33656" w:rsidRPr="00BB10FC">
        <w:rPr>
          <w:rFonts w:ascii="Verdana" w:hAnsi="Verdana"/>
          <w:color w:val="000000"/>
        </w:rPr>
        <w:t xml:space="preserve">   Se observa </w:t>
      </w:r>
      <w:r w:rsidR="00A63129">
        <w:rPr>
          <w:rFonts w:ascii="Verdana" w:hAnsi="Verdana"/>
          <w:color w:val="000000"/>
        </w:rPr>
        <w:t xml:space="preserve">que </w:t>
      </w:r>
      <w:r w:rsidR="00CB5723">
        <w:rPr>
          <w:rFonts w:ascii="Verdana" w:hAnsi="Verdana"/>
          <w:color w:val="000000"/>
        </w:rPr>
        <w:t xml:space="preserve">el </w:t>
      </w:r>
      <w:r w:rsidR="00B33656" w:rsidRPr="00BB10FC">
        <w:rPr>
          <w:rFonts w:ascii="Verdana" w:hAnsi="Verdana"/>
          <w:color w:val="000000"/>
        </w:rPr>
        <w:t xml:space="preserve"> devengado de la deuda flotante </w:t>
      </w:r>
      <w:r w:rsidR="00CB5723">
        <w:rPr>
          <w:rFonts w:ascii="Verdana" w:hAnsi="Verdana"/>
          <w:color w:val="000000"/>
        </w:rPr>
        <w:t>correspondiente al</w:t>
      </w:r>
      <w:r w:rsidR="00B33656" w:rsidRPr="00BB10FC">
        <w:rPr>
          <w:rFonts w:ascii="Verdana" w:hAnsi="Verdana"/>
          <w:color w:val="000000"/>
        </w:rPr>
        <w:t xml:space="preserve"> Ejercicio </w:t>
      </w:r>
      <w:r w:rsidR="00CB5723">
        <w:rPr>
          <w:rFonts w:ascii="Verdana" w:hAnsi="Verdana"/>
          <w:color w:val="000000"/>
        </w:rPr>
        <w:t xml:space="preserve">2021 </w:t>
      </w:r>
      <w:r w:rsidR="00B33656" w:rsidRPr="00BB10FC">
        <w:rPr>
          <w:rFonts w:ascii="Verdana" w:hAnsi="Verdana"/>
          <w:color w:val="000000"/>
        </w:rPr>
        <w:t>de las partidas Amortización Deuda Residuos Pasivos (74101) y Amortización Deuda Acreedores Varios (74102)</w:t>
      </w:r>
      <w:r w:rsidR="00C77351">
        <w:rPr>
          <w:rFonts w:ascii="Verdana" w:hAnsi="Verdana"/>
          <w:color w:val="000000"/>
        </w:rPr>
        <w:t>,</w:t>
      </w:r>
      <w:bookmarkStart w:id="0" w:name="_GoBack"/>
      <w:bookmarkEnd w:id="0"/>
      <w:r w:rsidR="00CB5723">
        <w:rPr>
          <w:rFonts w:ascii="Verdana" w:hAnsi="Verdana"/>
          <w:color w:val="000000"/>
        </w:rPr>
        <w:t xml:space="preserve"> tienen </w:t>
      </w:r>
      <w:r w:rsidR="00B33656" w:rsidRPr="00BB10FC">
        <w:rPr>
          <w:rFonts w:ascii="Verdana" w:hAnsi="Verdana"/>
          <w:color w:val="000000"/>
        </w:rPr>
        <w:t xml:space="preserve">mayor impacto </w:t>
      </w:r>
      <w:r w:rsidR="00CB5723">
        <w:rPr>
          <w:rFonts w:ascii="Verdana" w:hAnsi="Verdana"/>
          <w:color w:val="000000"/>
        </w:rPr>
        <w:t xml:space="preserve">de pago </w:t>
      </w:r>
      <w:r w:rsidR="00B33656" w:rsidRPr="00BB10FC">
        <w:rPr>
          <w:rFonts w:ascii="Verdana" w:hAnsi="Verdana"/>
          <w:color w:val="000000"/>
        </w:rPr>
        <w:t>en el 1er Trimestre del 202</w:t>
      </w:r>
      <w:r w:rsidR="00637C08">
        <w:rPr>
          <w:rFonts w:ascii="Verdana" w:hAnsi="Verdana"/>
          <w:color w:val="000000"/>
        </w:rPr>
        <w:t>2</w:t>
      </w:r>
      <w:r w:rsidR="00EA33A9" w:rsidRPr="00216C08">
        <w:rPr>
          <w:rFonts w:ascii="Verdana" w:hAnsi="Verdana"/>
          <w:color w:val="000000"/>
        </w:rPr>
        <w:t>.</w:t>
      </w:r>
      <w:r w:rsidR="00CF28CB" w:rsidRPr="00216C08">
        <w:rPr>
          <w:rFonts w:ascii="Verdana" w:hAnsi="Verdana"/>
          <w:color w:val="000000"/>
        </w:rPr>
        <w:t xml:space="preserve"> </w:t>
      </w:r>
      <w:r w:rsidR="00CB5723">
        <w:rPr>
          <w:rFonts w:ascii="Verdana" w:hAnsi="Verdana"/>
          <w:color w:val="000000"/>
        </w:rPr>
        <w:t>Además no se visualiza monto programado por este concepto.</w:t>
      </w:r>
    </w:p>
    <w:p w:rsidR="00B33656" w:rsidRPr="00216C08" w:rsidRDefault="00216C08" w:rsidP="00CB5723">
      <w:pPr>
        <w:spacing w:line="360" w:lineRule="auto"/>
        <w:ind w:left="644"/>
        <w:jc w:val="both"/>
        <w:rPr>
          <w:rFonts w:ascii="Verdana" w:hAnsi="Verdana"/>
        </w:rPr>
      </w:pPr>
      <w:r w:rsidRPr="00216C08">
        <w:rPr>
          <w:rFonts w:ascii="Verdana" w:hAnsi="Verdana"/>
        </w:rPr>
        <w:t>Con respecto a Amortización de Capital por otras deudas (amortización de la deuda consolidada 72103) en este trimestre se ejecutó en menor medida, debido principalmente, a la operatoria de refinanciación de deudas de las tres operatorias con el FGS-ANSES, por los préstamos correspondientes a los años 2016, 2017 y 2018, cuyos montos de capital -que ascendían a más de tres mil millones- vencían íntegramente durante los primeros meses del año. Esta refinanciación, se logró gracias a la emisión del Bono de conversión de la Provincia de Mendoza, mediante la cual se logró ampliar el periodo de gracia para los pagos de amortización de la deuda, y de esta manera, disminuir los servicios por este concepto durante el presente trimestre y ejercicio; por lo cual, se ha producido una ejecución menor de la partida 72103 respecto a lo programado financieramente a fines de 2021</w:t>
      </w:r>
      <w:r w:rsidR="00BB10FC" w:rsidRPr="00216C08">
        <w:rPr>
          <w:rFonts w:ascii="Verdana" w:hAnsi="Verdana"/>
          <w:color w:val="000000"/>
        </w:rPr>
        <w:t>.</w:t>
      </w:r>
      <w:r w:rsidR="00E61B16" w:rsidRPr="00216C08">
        <w:rPr>
          <w:rFonts w:ascii="Verdana" w:hAnsi="Verdana"/>
          <w:color w:val="000000"/>
        </w:rPr>
        <w:t xml:space="preserve"> </w:t>
      </w:r>
      <w:r w:rsidR="00E61B16" w:rsidRPr="00216C08">
        <w:rPr>
          <w:rFonts w:ascii="Verdana" w:hAnsi="Verdana"/>
        </w:rPr>
        <w:t xml:space="preserve">Información que surge del CUC 020  </w:t>
      </w:r>
      <w:r w:rsidR="00E61B16" w:rsidRPr="00216C08">
        <w:rPr>
          <w:rFonts w:ascii="Verdana" w:hAnsi="Verdana"/>
          <w:color w:val="000000"/>
        </w:rPr>
        <w:t>Dirección General de Crédito al Sector Público.</w:t>
      </w:r>
    </w:p>
    <w:sectPr w:rsidR="00B33656" w:rsidRPr="00216C08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9E8" w:rsidRDefault="004509E8" w:rsidP="00022F60">
      <w:r>
        <w:separator/>
      </w:r>
    </w:p>
  </w:endnote>
  <w:endnote w:type="continuationSeparator" w:id="0">
    <w:p w:rsidR="004509E8" w:rsidRDefault="004509E8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Georgia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RoundedMT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9E8" w:rsidRDefault="004509E8" w:rsidP="00022F60">
      <w:r>
        <w:separator/>
      </w:r>
    </w:p>
  </w:footnote>
  <w:footnote w:type="continuationSeparator" w:id="0">
    <w:p w:rsidR="004509E8" w:rsidRDefault="004509E8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310C5BD0" wp14:editId="422B154D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4509E8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A63129" w:rsidRDefault="00A63129" w:rsidP="00A63129">
    <w:pPr>
      <w:pStyle w:val="Encabezado"/>
      <w:rPr>
        <w:rFonts w:ascii="ArialRoundedMTBold" w:hAnsi="ArialRoundedMTBold"/>
        <w:b/>
        <w:bCs/>
        <w:color w:val="000000"/>
        <w:u w:val="single"/>
      </w:rPr>
    </w:pPr>
  </w:p>
  <w:p w:rsidR="00A63129" w:rsidRPr="00C3094E" w:rsidRDefault="00A63129" w:rsidP="00A63129">
    <w:pPr>
      <w:pStyle w:val="Encabezado"/>
      <w:rPr>
        <w:b/>
        <w:u w:val="single"/>
      </w:rPr>
    </w:pPr>
    <w:r w:rsidRPr="00C3094E">
      <w:rPr>
        <w:rFonts w:ascii="ArialRoundedMTBold" w:hAnsi="ArialRoundedMTBold"/>
        <w:b/>
        <w:bCs/>
        <w:color w:val="000000"/>
        <w:u w:val="single"/>
      </w:rPr>
      <w:t>“2022 Año de homenaje a los 40 años de la gesta de Malvinas, a sus Veteranos y Caídos”</w:t>
    </w: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B95A547E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F75"/>
    <w:rsid w:val="0000370C"/>
    <w:rsid w:val="0000564B"/>
    <w:rsid w:val="00014113"/>
    <w:rsid w:val="00022F60"/>
    <w:rsid w:val="00024C05"/>
    <w:rsid w:val="00025534"/>
    <w:rsid w:val="00030BCF"/>
    <w:rsid w:val="00053410"/>
    <w:rsid w:val="00057AE5"/>
    <w:rsid w:val="000606CC"/>
    <w:rsid w:val="0006121F"/>
    <w:rsid w:val="00067998"/>
    <w:rsid w:val="00091097"/>
    <w:rsid w:val="00094A9C"/>
    <w:rsid w:val="000A011B"/>
    <w:rsid w:val="000A1E98"/>
    <w:rsid w:val="000A395B"/>
    <w:rsid w:val="000A68B5"/>
    <w:rsid w:val="000D1439"/>
    <w:rsid w:val="000E0F7C"/>
    <w:rsid w:val="000E1067"/>
    <w:rsid w:val="000E1162"/>
    <w:rsid w:val="000E7665"/>
    <w:rsid w:val="000F78FA"/>
    <w:rsid w:val="00103D20"/>
    <w:rsid w:val="001140D6"/>
    <w:rsid w:val="001147AB"/>
    <w:rsid w:val="00116727"/>
    <w:rsid w:val="0012022F"/>
    <w:rsid w:val="00122384"/>
    <w:rsid w:val="001334F9"/>
    <w:rsid w:val="00133C83"/>
    <w:rsid w:val="00136061"/>
    <w:rsid w:val="00136081"/>
    <w:rsid w:val="00140B32"/>
    <w:rsid w:val="00144B8B"/>
    <w:rsid w:val="0015268E"/>
    <w:rsid w:val="0016446C"/>
    <w:rsid w:val="001649B4"/>
    <w:rsid w:val="00165DA0"/>
    <w:rsid w:val="00167EF9"/>
    <w:rsid w:val="00181D95"/>
    <w:rsid w:val="00183AF2"/>
    <w:rsid w:val="00184129"/>
    <w:rsid w:val="00187B1E"/>
    <w:rsid w:val="001905EA"/>
    <w:rsid w:val="001929FB"/>
    <w:rsid w:val="0019724F"/>
    <w:rsid w:val="0019798D"/>
    <w:rsid w:val="001B2EF9"/>
    <w:rsid w:val="001B3409"/>
    <w:rsid w:val="001B579A"/>
    <w:rsid w:val="001E0F2E"/>
    <w:rsid w:val="001F0814"/>
    <w:rsid w:val="001F653A"/>
    <w:rsid w:val="001F695E"/>
    <w:rsid w:val="00203F0A"/>
    <w:rsid w:val="0020522C"/>
    <w:rsid w:val="00206DEB"/>
    <w:rsid w:val="00213C92"/>
    <w:rsid w:val="00216C08"/>
    <w:rsid w:val="00232370"/>
    <w:rsid w:val="0023434C"/>
    <w:rsid w:val="00235AB1"/>
    <w:rsid w:val="00244803"/>
    <w:rsid w:val="0025169C"/>
    <w:rsid w:val="002561CE"/>
    <w:rsid w:val="00267AF4"/>
    <w:rsid w:val="00270BB9"/>
    <w:rsid w:val="00270BCC"/>
    <w:rsid w:val="00271015"/>
    <w:rsid w:val="00272A3D"/>
    <w:rsid w:val="00272DE7"/>
    <w:rsid w:val="00273D22"/>
    <w:rsid w:val="002822D1"/>
    <w:rsid w:val="002A7C2D"/>
    <w:rsid w:val="002C1B5C"/>
    <w:rsid w:val="002C21B3"/>
    <w:rsid w:val="002C5FB3"/>
    <w:rsid w:val="002D267D"/>
    <w:rsid w:val="002D32DD"/>
    <w:rsid w:val="002F1816"/>
    <w:rsid w:val="00327D1E"/>
    <w:rsid w:val="00337367"/>
    <w:rsid w:val="00341087"/>
    <w:rsid w:val="003439DD"/>
    <w:rsid w:val="00343DA3"/>
    <w:rsid w:val="00346CA3"/>
    <w:rsid w:val="00356351"/>
    <w:rsid w:val="00365275"/>
    <w:rsid w:val="003655FD"/>
    <w:rsid w:val="003658E7"/>
    <w:rsid w:val="003662CB"/>
    <w:rsid w:val="003722E0"/>
    <w:rsid w:val="0037323C"/>
    <w:rsid w:val="00373E68"/>
    <w:rsid w:val="003879C9"/>
    <w:rsid w:val="00395FDE"/>
    <w:rsid w:val="0039746C"/>
    <w:rsid w:val="003A4419"/>
    <w:rsid w:val="003A7D26"/>
    <w:rsid w:val="003B0116"/>
    <w:rsid w:val="003B31EB"/>
    <w:rsid w:val="003B653A"/>
    <w:rsid w:val="003C237D"/>
    <w:rsid w:val="003C71E2"/>
    <w:rsid w:val="00401344"/>
    <w:rsid w:val="0040331B"/>
    <w:rsid w:val="00404ACD"/>
    <w:rsid w:val="004065C1"/>
    <w:rsid w:val="00411B56"/>
    <w:rsid w:val="00413433"/>
    <w:rsid w:val="00416155"/>
    <w:rsid w:val="00416A8C"/>
    <w:rsid w:val="0042084D"/>
    <w:rsid w:val="00424043"/>
    <w:rsid w:val="0043204A"/>
    <w:rsid w:val="00434D94"/>
    <w:rsid w:val="00440DA3"/>
    <w:rsid w:val="004509E8"/>
    <w:rsid w:val="0045422C"/>
    <w:rsid w:val="00465436"/>
    <w:rsid w:val="004756B8"/>
    <w:rsid w:val="004768B6"/>
    <w:rsid w:val="00484B5F"/>
    <w:rsid w:val="004850ED"/>
    <w:rsid w:val="00487680"/>
    <w:rsid w:val="00493D56"/>
    <w:rsid w:val="004A13FD"/>
    <w:rsid w:val="004A1F87"/>
    <w:rsid w:val="004B2957"/>
    <w:rsid w:val="004B711A"/>
    <w:rsid w:val="004C103B"/>
    <w:rsid w:val="004C208B"/>
    <w:rsid w:val="004C4999"/>
    <w:rsid w:val="004C5EB5"/>
    <w:rsid w:val="004D13BA"/>
    <w:rsid w:val="004D317C"/>
    <w:rsid w:val="004F34B8"/>
    <w:rsid w:val="004F6021"/>
    <w:rsid w:val="00506A25"/>
    <w:rsid w:val="0052698F"/>
    <w:rsid w:val="00527099"/>
    <w:rsid w:val="005320E7"/>
    <w:rsid w:val="005459DC"/>
    <w:rsid w:val="00550E7F"/>
    <w:rsid w:val="00551D87"/>
    <w:rsid w:val="00555C42"/>
    <w:rsid w:val="005718F6"/>
    <w:rsid w:val="005750E5"/>
    <w:rsid w:val="005911DB"/>
    <w:rsid w:val="005A14FF"/>
    <w:rsid w:val="005A37E7"/>
    <w:rsid w:val="005A649B"/>
    <w:rsid w:val="005B2F5B"/>
    <w:rsid w:val="005B3CAF"/>
    <w:rsid w:val="005B7007"/>
    <w:rsid w:val="005C1812"/>
    <w:rsid w:val="005D0868"/>
    <w:rsid w:val="005D13DC"/>
    <w:rsid w:val="005D5978"/>
    <w:rsid w:val="005D73F5"/>
    <w:rsid w:val="005F01D3"/>
    <w:rsid w:val="005F07CF"/>
    <w:rsid w:val="005F6AF1"/>
    <w:rsid w:val="00606D2B"/>
    <w:rsid w:val="00614107"/>
    <w:rsid w:val="00617939"/>
    <w:rsid w:val="00624603"/>
    <w:rsid w:val="00637C08"/>
    <w:rsid w:val="006411D9"/>
    <w:rsid w:val="00644D37"/>
    <w:rsid w:val="00646528"/>
    <w:rsid w:val="006479FA"/>
    <w:rsid w:val="006667CC"/>
    <w:rsid w:val="00672234"/>
    <w:rsid w:val="00684447"/>
    <w:rsid w:val="00686067"/>
    <w:rsid w:val="00687771"/>
    <w:rsid w:val="00696D3F"/>
    <w:rsid w:val="006974B0"/>
    <w:rsid w:val="006A32EE"/>
    <w:rsid w:val="006B26B4"/>
    <w:rsid w:val="006C1C68"/>
    <w:rsid w:val="006C2959"/>
    <w:rsid w:val="006C46EF"/>
    <w:rsid w:val="006D0ECF"/>
    <w:rsid w:val="006D5DE1"/>
    <w:rsid w:val="006E3768"/>
    <w:rsid w:val="006E487B"/>
    <w:rsid w:val="007022FB"/>
    <w:rsid w:val="00713D6B"/>
    <w:rsid w:val="007169C2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4575"/>
    <w:rsid w:val="00762F9B"/>
    <w:rsid w:val="007668E9"/>
    <w:rsid w:val="00780B89"/>
    <w:rsid w:val="00786B68"/>
    <w:rsid w:val="00787663"/>
    <w:rsid w:val="00793E33"/>
    <w:rsid w:val="007A206F"/>
    <w:rsid w:val="007A5E56"/>
    <w:rsid w:val="007B1FD8"/>
    <w:rsid w:val="007B79B7"/>
    <w:rsid w:val="007C1B5C"/>
    <w:rsid w:val="007C313B"/>
    <w:rsid w:val="007C514F"/>
    <w:rsid w:val="007C72E0"/>
    <w:rsid w:val="007D6482"/>
    <w:rsid w:val="007E548B"/>
    <w:rsid w:val="007F6962"/>
    <w:rsid w:val="008119B5"/>
    <w:rsid w:val="00814544"/>
    <w:rsid w:val="00826413"/>
    <w:rsid w:val="00830FFE"/>
    <w:rsid w:val="008347A3"/>
    <w:rsid w:val="00837CCE"/>
    <w:rsid w:val="00851CF2"/>
    <w:rsid w:val="00853CFA"/>
    <w:rsid w:val="00855F26"/>
    <w:rsid w:val="00861F72"/>
    <w:rsid w:val="0088200B"/>
    <w:rsid w:val="008857FC"/>
    <w:rsid w:val="008B56EE"/>
    <w:rsid w:val="008C1D33"/>
    <w:rsid w:val="008C2534"/>
    <w:rsid w:val="008C419E"/>
    <w:rsid w:val="008C52D2"/>
    <w:rsid w:val="008C5E34"/>
    <w:rsid w:val="008D5B57"/>
    <w:rsid w:val="008E5A2D"/>
    <w:rsid w:val="008F1B4C"/>
    <w:rsid w:val="008F1BB9"/>
    <w:rsid w:val="00913C7F"/>
    <w:rsid w:val="0091408D"/>
    <w:rsid w:val="0092174C"/>
    <w:rsid w:val="00934B0D"/>
    <w:rsid w:val="0093723B"/>
    <w:rsid w:val="00941FCC"/>
    <w:rsid w:val="00952403"/>
    <w:rsid w:val="0095349E"/>
    <w:rsid w:val="009646D4"/>
    <w:rsid w:val="00982571"/>
    <w:rsid w:val="009868FF"/>
    <w:rsid w:val="00990A3B"/>
    <w:rsid w:val="009958DD"/>
    <w:rsid w:val="00997741"/>
    <w:rsid w:val="009B0AF0"/>
    <w:rsid w:val="009B3F26"/>
    <w:rsid w:val="009B5C0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06EE1"/>
    <w:rsid w:val="00A127C1"/>
    <w:rsid w:val="00A14E73"/>
    <w:rsid w:val="00A2651D"/>
    <w:rsid w:val="00A324DA"/>
    <w:rsid w:val="00A33012"/>
    <w:rsid w:val="00A363C8"/>
    <w:rsid w:val="00A37DD5"/>
    <w:rsid w:val="00A42AFB"/>
    <w:rsid w:val="00A525B6"/>
    <w:rsid w:val="00A5346C"/>
    <w:rsid w:val="00A57B98"/>
    <w:rsid w:val="00A63129"/>
    <w:rsid w:val="00A66352"/>
    <w:rsid w:val="00A81E65"/>
    <w:rsid w:val="00A879A2"/>
    <w:rsid w:val="00AA0724"/>
    <w:rsid w:val="00AA1382"/>
    <w:rsid w:val="00AA420E"/>
    <w:rsid w:val="00AC562A"/>
    <w:rsid w:val="00AC5D75"/>
    <w:rsid w:val="00AC708E"/>
    <w:rsid w:val="00AD284A"/>
    <w:rsid w:val="00AD4114"/>
    <w:rsid w:val="00AD624D"/>
    <w:rsid w:val="00AE038F"/>
    <w:rsid w:val="00AE155D"/>
    <w:rsid w:val="00AF6330"/>
    <w:rsid w:val="00B038CA"/>
    <w:rsid w:val="00B14E55"/>
    <w:rsid w:val="00B2430F"/>
    <w:rsid w:val="00B2641B"/>
    <w:rsid w:val="00B33656"/>
    <w:rsid w:val="00B34767"/>
    <w:rsid w:val="00B40C4B"/>
    <w:rsid w:val="00B432C8"/>
    <w:rsid w:val="00B434CF"/>
    <w:rsid w:val="00B4506C"/>
    <w:rsid w:val="00B603B7"/>
    <w:rsid w:val="00B675BD"/>
    <w:rsid w:val="00B70C4A"/>
    <w:rsid w:val="00B77015"/>
    <w:rsid w:val="00B77ADC"/>
    <w:rsid w:val="00B77E07"/>
    <w:rsid w:val="00BA33E5"/>
    <w:rsid w:val="00BB10FC"/>
    <w:rsid w:val="00BB3714"/>
    <w:rsid w:val="00BB77D8"/>
    <w:rsid w:val="00BC2362"/>
    <w:rsid w:val="00BD216F"/>
    <w:rsid w:val="00BD4A29"/>
    <w:rsid w:val="00BD59CB"/>
    <w:rsid w:val="00BE2C4A"/>
    <w:rsid w:val="00BF2EE0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1F96"/>
    <w:rsid w:val="00C34A77"/>
    <w:rsid w:val="00C476F1"/>
    <w:rsid w:val="00C47E5E"/>
    <w:rsid w:val="00C504A3"/>
    <w:rsid w:val="00C661D8"/>
    <w:rsid w:val="00C76620"/>
    <w:rsid w:val="00C76F2E"/>
    <w:rsid w:val="00C77351"/>
    <w:rsid w:val="00C77987"/>
    <w:rsid w:val="00C81901"/>
    <w:rsid w:val="00C83304"/>
    <w:rsid w:val="00C86F8A"/>
    <w:rsid w:val="00C87007"/>
    <w:rsid w:val="00C90484"/>
    <w:rsid w:val="00C90B04"/>
    <w:rsid w:val="00CA2F22"/>
    <w:rsid w:val="00CA780E"/>
    <w:rsid w:val="00CB15CD"/>
    <w:rsid w:val="00CB15DA"/>
    <w:rsid w:val="00CB1F04"/>
    <w:rsid w:val="00CB5723"/>
    <w:rsid w:val="00CB6351"/>
    <w:rsid w:val="00CB7069"/>
    <w:rsid w:val="00CC03BC"/>
    <w:rsid w:val="00CC177C"/>
    <w:rsid w:val="00CC31A1"/>
    <w:rsid w:val="00CC335D"/>
    <w:rsid w:val="00CD0090"/>
    <w:rsid w:val="00CD3683"/>
    <w:rsid w:val="00CE27B1"/>
    <w:rsid w:val="00CF28CB"/>
    <w:rsid w:val="00D00859"/>
    <w:rsid w:val="00D067CF"/>
    <w:rsid w:val="00D07D73"/>
    <w:rsid w:val="00D1001A"/>
    <w:rsid w:val="00D126A6"/>
    <w:rsid w:val="00D13F5A"/>
    <w:rsid w:val="00D165E7"/>
    <w:rsid w:val="00D17DFF"/>
    <w:rsid w:val="00D23FB2"/>
    <w:rsid w:val="00D30414"/>
    <w:rsid w:val="00D337A1"/>
    <w:rsid w:val="00D429AE"/>
    <w:rsid w:val="00D43372"/>
    <w:rsid w:val="00D50327"/>
    <w:rsid w:val="00D56151"/>
    <w:rsid w:val="00D564F0"/>
    <w:rsid w:val="00D81586"/>
    <w:rsid w:val="00D82335"/>
    <w:rsid w:val="00D82E7D"/>
    <w:rsid w:val="00D82E92"/>
    <w:rsid w:val="00D83284"/>
    <w:rsid w:val="00D9328C"/>
    <w:rsid w:val="00D934A4"/>
    <w:rsid w:val="00DA165D"/>
    <w:rsid w:val="00DA758F"/>
    <w:rsid w:val="00DA7B8C"/>
    <w:rsid w:val="00DB6E3F"/>
    <w:rsid w:val="00DC56FB"/>
    <w:rsid w:val="00DC61B9"/>
    <w:rsid w:val="00DC7EDC"/>
    <w:rsid w:val="00DC7F90"/>
    <w:rsid w:val="00DD5A30"/>
    <w:rsid w:val="00E02FF2"/>
    <w:rsid w:val="00E0635F"/>
    <w:rsid w:val="00E12AFE"/>
    <w:rsid w:val="00E1391A"/>
    <w:rsid w:val="00E167D1"/>
    <w:rsid w:val="00E17743"/>
    <w:rsid w:val="00E17A6E"/>
    <w:rsid w:val="00E20C12"/>
    <w:rsid w:val="00E210DA"/>
    <w:rsid w:val="00E21BE4"/>
    <w:rsid w:val="00E43639"/>
    <w:rsid w:val="00E437CD"/>
    <w:rsid w:val="00E43859"/>
    <w:rsid w:val="00E5612B"/>
    <w:rsid w:val="00E61B16"/>
    <w:rsid w:val="00E62A5C"/>
    <w:rsid w:val="00E66548"/>
    <w:rsid w:val="00E72D40"/>
    <w:rsid w:val="00E75FD5"/>
    <w:rsid w:val="00EA33A9"/>
    <w:rsid w:val="00EC238E"/>
    <w:rsid w:val="00ED186E"/>
    <w:rsid w:val="00ED716D"/>
    <w:rsid w:val="00EE5522"/>
    <w:rsid w:val="00EF2D50"/>
    <w:rsid w:val="00EF31BB"/>
    <w:rsid w:val="00F13D0C"/>
    <w:rsid w:val="00F13ED4"/>
    <w:rsid w:val="00F27FEB"/>
    <w:rsid w:val="00F315CB"/>
    <w:rsid w:val="00F443C0"/>
    <w:rsid w:val="00F47610"/>
    <w:rsid w:val="00F5570A"/>
    <w:rsid w:val="00F574A8"/>
    <w:rsid w:val="00F61A92"/>
    <w:rsid w:val="00F62D43"/>
    <w:rsid w:val="00F6460C"/>
    <w:rsid w:val="00F65C9F"/>
    <w:rsid w:val="00F7009A"/>
    <w:rsid w:val="00F762CA"/>
    <w:rsid w:val="00F76A24"/>
    <w:rsid w:val="00F93451"/>
    <w:rsid w:val="00F96000"/>
    <w:rsid w:val="00FA0284"/>
    <w:rsid w:val="00FA699C"/>
    <w:rsid w:val="00FB4207"/>
    <w:rsid w:val="00FB4509"/>
    <w:rsid w:val="00FB4F62"/>
    <w:rsid w:val="00FC4ECB"/>
    <w:rsid w:val="00FD7BCD"/>
    <w:rsid w:val="00FE5712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6BE89-8EAF-44D9-929D-C772D711B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3817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4502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2</cp:revision>
  <cp:lastPrinted>2022-05-17T18:49:00Z</cp:lastPrinted>
  <dcterms:created xsi:type="dcterms:W3CDTF">2022-05-17T18:49:00Z</dcterms:created>
  <dcterms:modified xsi:type="dcterms:W3CDTF">2022-05-17T18:49:00Z</dcterms:modified>
</cp:coreProperties>
</file>