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c)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Ministerio Público Fiscal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22</w:t>
      </w:r>
      <w:r>
        <w:rPr>
          <w:b/>
          <w:lang w:val="es-MX"/>
        </w:rPr>
        <w:t xml:space="preserve">                                                 </w:t>
      </w:r>
      <w:r>
        <w:rPr>
          <w:b/>
          <w:lang w:val="es-AR"/>
        </w:rPr>
        <w:t xml:space="preserve"> </w:t>
      </w:r>
      <w:r>
        <w:rPr>
          <w:b/>
          <w:lang w:val="es-MX"/>
        </w:rPr>
        <w:t xml:space="preserve">   Trimestre: </w:t>
      </w:r>
      <w:r>
        <w:rPr>
          <w:b/>
          <w:lang w:val="es-AR"/>
        </w:rPr>
        <w:t>PRIMERO</w:t>
      </w:r>
    </w:p>
    <w:p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r>
        <w:rPr>
          <w:lang w:val="es-MX"/>
        </w:rPr>
        <w:t>“</w:t>
      </w:r>
      <w:r>
        <w:rPr>
          <w:b/>
          <w:bCs/>
        </w:rPr>
        <w:t>Información Artículo 27 Ley 7.314 y 5° inc c) Acuerdo 3949 y su modifc. 4.559”.</w:t>
      </w:r>
    </w:p>
    <w:p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bookmarkStart w:id="0" w:name="_GoBack"/>
      <w:bookmarkEnd w:id="0"/>
    </w:p>
    <w:p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 xml:space="preserve">RECURSOS CORRIENTES: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Los recursos corrientes, gracias a la recuperación de las actividades ha generado una recaudación de nivel cercano a la prepandemia. Respecto de la programación, la superan este primer trimestre en casi un 24%.-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MX"/>
        </w:rPr>
        <w:t>GASTOS CORRIENTES</w:t>
      </w:r>
      <w:r>
        <w:rPr>
          <w:lang w:val="es-AR"/>
        </w:rPr>
        <w:t xml:space="preserve">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Los gastos corrientes, superan lo programado en un 33% aproximado, debido a la reactivación de la actividad judicial y los aumentos de los insumos. No obstante, se ha buscado cubrirlos con la mayor recaudación lograda, conforme lo dicho en el apartado anterior.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GASTOS DE CAPITAL</w:t>
      </w:r>
    </w:p>
    <w:p>
      <w:pPr>
        <w:tabs>
          <w:tab w:val="left" w:pos="4680"/>
        </w:tabs>
        <w:spacing w:line="360" w:lineRule="auto"/>
        <w:ind w:left="714" w:leftChars="305" w:firstLine="3" w:firstLineChars="0"/>
        <w:jc w:val="both"/>
        <w:rPr>
          <w:lang w:val="es-AR"/>
        </w:rPr>
      </w:pPr>
      <w:r>
        <w:rPr>
          <w:lang w:val="es-AR"/>
        </w:rPr>
        <w:t>Los gastos de capital en el trimestre, superaron notoriamente la programación financiera; esto es debido a que el PE, en el presente ejercicio, no otorgó el refuerzo presupuestario acordado a fines de 2021, con lo cual el MPF ha debido afrontar el gasto con financiamiento 21. Las aplicaciones se muestran como sigue:</w:t>
      </w:r>
    </w:p>
    <w:p>
      <w:pPr>
        <w:tabs>
          <w:tab w:val="left" w:pos="4680"/>
        </w:tabs>
        <w:spacing w:line="360" w:lineRule="auto"/>
        <w:ind w:left="714" w:leftChars="305" w:firstLine="3" w:firstLineChars="0"/>
        <w:jc w:val="both"/>
        <w:rPr>
          <w:lang w:val="es-AR"/>
        </w:rPr>
      </w:pPr>
      <w:r>
        <w:drawing>
          <wp:inline distT="0" distB="0" distL="114300" distR="114300">
            <wp:extent cx="5396865" cy="2190750"/>
            <wp:effectExtent l="0" t="0" r="13335" b="381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686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outlineLvl w:val="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>
      <w:pPr>
        <w:spacing w:line="276" w:lineRule="auto"/>
        <w:jc w:val="both"/>
        <w:rPr>
          <w:lang w:val="es-AR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mayo 2022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mirrorMargins w:val="1"/>
  <w:bordersDoNotSurroundHeader w:val="0"/>
  <w:bordersDoNotSurroundFooter w:val="0"/>
  <w:documentProtection w:enforcement="0"/>
  <w:defaultTabStop w:val="708"/>
  <w:autoHyphenation/>
  <w:hyphenationZone w:val="425"/>
  <w:evenAndOddHeaders w:val="1"/>
  <w:drawingGridHorizontalSpacing w:val="237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55884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E0B3E3F"/>
    <w:rsid w:val="15241228"/>
    <w:rsid w:val="1CD55884"/>
    <w:rsid w:val="36012FEE"/>
    <w:rsid w:val="3F4B729B"/>
    <w:rsid w:val="44112AD1"/>
    <w:rsid w:val="44455492"/>
    <w:rsid w:val="4B8512CE"/>
    <w:rsid w:val="50CA0558"/>
    <w:rsid w:val="52FE0B4E"/>
    <w:rsid w:val="5E902932"/>
    <w:rsid w:val="678B1ACA"/>
    <w:rsid w:val="6C753556"/>
    <w:rsid w:val="6E515940"/>
    <w:rsid w:val="7425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2020-08-13T15:19:00Z</dcterms:created>
  <dc:creator>Sonia Colobini</dc:creator>
  <cp:lastModifiedBy>Sonia Colobini</cp:lastModifiedBy>
  <cp:lastPrinted>2021-08-18T11:33:00Z</cp:lastPrinted>
  <dcterms:modified xsi:type="dcterms:W3CDTF">2022-05-19T17:12:12Z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2058-10.2.0.7516</vt:lpwstr>
  </property>
</Properties>
</file>