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bookmarkStart w:id="0" w:name="_GoBack"/>
      <w:bookmarkEnd w:id="0"/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D04818">
        <w:rPr>
          <w:rFonts w:ascii="Verdana" w:hAnsi="Verdana" w:cs="Arial"/>
        </w:rPr>
        <w:t>1</w:t>
      </w:r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</w:t>
      </w:r>
      <w:r w:rsidR="00C6464E">
        <w:rPr>
          <w:rFonts w:ascii="Verdana" w:hAnsi="Verdana" w:cs="Arial"/>
        </w:rPr>
        <w:t>2</w:t>
      </w:r>
    </w:p>
    <w:p w:rsidR="00330CAA" w:rsidRPr="00C6464E" w:rsidRDefault="00EF7169" w:rsidP="00D04818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>Medidas de Política de Gasto Público:</w:t>
      </w:r>
      <w:r w:rsidR="009148FE" w:rsidRPr="00C6464E">
        <w:rPr>
          <w:rFonts w:ascii="Arial" w:hAnsi="Arial" w:cs="Arial"/>
        </w:rPr>
        <w:t xml:space="preserve"> </w:t>
      </w:r>
    </w:p>
    <w:p w:rsidR="00C6464E" w:rsidRPr="009B3FEA" w:rsidRDefault="009B3FEA" w:rsidP="000E51BA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el primer trimestre del ejercicio se llevaron a cabo</w:t>
      </w:r>
      <w:r w:rsidR="000E51BA">
        <w:rPr>
          <w:rFonts w:ascii="Arial" w:eastAsia="Times New Roman" w:hAnsi="Arial" w:cs="Arial"/>
          <w:color w:val="111111"/>
          <w:lang w:eastAsia="es-AR"/>
        </w:rPr>
        <w:t xml:space="preserve"> las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negociaciones paritarias </w:t>
      </w:r>
      <w:r w:rsidR="000E51BA">
        <w:rPr>
          <w:rFonts w:ascii="Arial" w:eastAsia="Times New Roman" w:hAnsi="Arial" w:cs="Arial"/>
          <w:color w:val="111111"/>
          <w:lang w:eastAsia="es-AR"/>
        </w:rPr>
        <w:t>acordando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0E51BA">
        <w:rPr>
          <w:rFonts w:ascii="Arial" w:eastAsia="Times New Roman" w:hAnsi="Arial" w:cs="Arial"/>
          <w:color w:val="111111"/>
          <w:lang w:eastAsia="es-AR"/>
        </w:rPr>
        <w:t>una propuesta salarial con todos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los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gremios que representan a los trabajadores de la administración pública, </w:t>
      </w:r>
      <w:r w:rsidR="000E51BA">
        <w:rPr>
          <w:rFonts w:ascii="Arial" w:eastAsia="Times New Roman" w:hAnsi="Arial" w:cs="Arial"/>
          <w:color w:val="111111"/>
          <w:lang w:eastAsia="es-AR"/>
        </w:rPr>
        <w:t>la qu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>e contempla una recomposición salarial 100% remunerativa y también un incremento de 40% sobre el básico de todos los regímenes salariales.</w:t>
      </w:r>
      <w:r w:rsidR="00CD1EE0">
        <w:rPr>
          <w:rFonts w:ascii="Arial" w:eastAsia="Times New Roman" w:hAnsi="Arial" w:cs="Arial"/>
          <w:color w:val="111111"/>
          <w:lang w:eastAsia="es-AR"/>
        </w:rPr>
        <w:t xml:space="preserve"> Dicho</w:t>
      </w:r>
      <w:r w:rsidR="00C6464E" w:rsidRPr="00C6464E">
        <w:rPr>
          <w:rFonts w:ascii="Arial" w:eastAsia="Times New Roman" w:hAnsi="Arial" w:cs="Arial"/>
          <w:color w:val="111111"/>
          <w:lang w:eastAsia="es-AR"/>
        </w:rPr>
        <w:t xml:space="preserve"> aumento se pagará en siete tramos no acumulativos: 12 % en marzo, 4% en abril, 4% en junio, 5% en agosto, 5% en septiembre, 5% en octubre y, por último, 5% en noviembre. Además, se pagará la suma fija de $7.200 mensuales de forma remunerativa que impactará en el aguinaldo y los aportes jubilatorios</w:t>
      </w:r>
      <w:r w:rsidR="00C6464E" w:rsidRPr="00CD1EE0">
        <w:rPr>
          <w:rFonts w:ascii="Arial" w:eastAsia="Times New Roman" w:hAnsi="Arial" w:cs="Arial"/>
          <w:color w:val="111111"/>
          <w:lang w:eastAsia="es-AR"/>
        </w:rPr>
        <w:t xml:space="preserve">. </w:t>
      </w:r>
      <w:r w:rsidR="00CD1EE0" w:rsidRPr="00CD1EE0">
        <w:rPr>
          <w:rFonts w:ascii="Arial" w:hAnsi="Arial" w:cs="Arial"/>
          <w:color w:val="111111"/>
          <w:shd w:val="clear" w:color="auto" w:fill="F9F9F9"/>
        </w:rPr>
        <w:t>Otro de los puntos acordados es la realización de una mesa de revisión salarial en septiembre de 2022.</w:t>
      </w:r>
    </w:p>
    <w:p w:rsidR="009B3FEA" w:rsidRDefault="009B3FEA" w:rsidP="00872CC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9B3FEA">
        <w:rPr>
          <w:rFonts w:ascii="Arial" w:eastAsia="Times New Roman" w:hAnsi="Arial" w:cs="Arial"/>
          <w:color w:val="111111"/>
          <w:lang w:eastAsia="es-AR"/>
        </w:rPr>
        <w:t xml:space="preserve">Se dispuso un incremento para los contratos de Locación de Obras, Locación de Servicios y Honorarios determinados en horas módulo deportivo, de 20% en abril, 8% en agosto y 10% en noviembre, </w:t>
      </w:r>
      <w:r w:rsidR="00A770BF">
        <w:rPr>
          <w:rFonts w:ascii="Arial" w:eastAsia="Times New Roman" w:hAnsi="Arial" w:cs="Arial"/>
          <w:color w:val="111111"/>
          <w:lang w:eastAsia="es-AR"/>
        </w:rPr>
        <w:t xml:space="preserve">a determinar </w:t>
      </w:r>
      <w:r w:rsidRPr="009B3FEA">
        <w:rPr>
          <w:rFonts w:ascii="Arial" w:eastAsia="Times New Roman" w:hAnsi="Arial" w:cs="Arial"/>
          <w:color w:val="111111"/>
          <w:lang w:eastAsia="es-AR"/>
        </w:rPr>
        <w:t>c</w:t>
      </w:r>
      <w:r w:rsidR="00F428DF">
        <w:rPr>
          <w:rFonts w:ascii="Arial" w:eastAsia="Times New Roman" w:hAnsi="Arial" w:cs="Arial"/>
          <w:color w:val="111111"/>
          <w:lang w:eastAsia="es-AR"/>
        </w:rPr>
        <w:t>onforme a las pautas y</w:t>
      </w:r>
      <w:r>
        <w:rPr>
          <w:rFonts w:ascii="Arial" w:eastAsia="Times New Roman" w:hAnsi="Arial" w:cs="Arial"/>
          <w:color w:val="111111"/>
          <w:lang w:eastAsia="es-AR"/>
        </w:rPr>
        <w:t xml:space="preserve"> requisitos </w:t>
      </w:r>
      <w:r w:rsidR="00A770BF">
        <w:rPr>
          <w:rFonts w:ascii="Arial" w:eastAsia="Times New Roman" w:hAnsi="Arial" w:cs="Arial"/>
          <w:color w:val="111111"/>
          <w:lang w:eastAsia="es-AR"/>
        </w:rPr>
        <w:t>previstos</w:t>
      </w:r>
      <w:r>
        <w:rPr>
          <w:rFonts w:ascii="Arial" w:eastAsia="Times New Roman" w:hAnsi="Arial" w:cs="Arial"/>
          <w:color w:val="111111"/>
          <w:lang w:eastAsia="es-AR"/>
        </w:rPr>
        <w:t xml:space="preserve"> </w:t>
      </w:r>
      <w:r w:rsidRPr="00AD4CA9">
        <w:rPr>
          <w:rFonts w:ascii="Arial" w:eastAsia="Times New Roman" w:hAnsi="Arial" w:cs="Arial"/>
          <w:color w:val="111111"/>
          <w:lang w:eastAsia="es-AR"/>
        </w:rPr>
        <w:t>en el Decreto Nº 3</w:t>
      </w:r>
      <w:r w:rsidR="00AD4CA9">
        <w:rPr>
          <w:rFonts w:ascii="Arial" w:eastAsia="Times New Roman" w:hAnsi="Arial" w:cs="Arial"/>
          <w:color w:val="111111"/>
          <w:lang w:eastAsia="es-AR"/>
        </w:rPr>
        <w:t>94</w:t>
      </w:r>
      <w:r w:rsidRPr="00AD4CA9">
        <w:rPr>
          <w:rFonts w:ascii="Arial" w:eastAsia="Times New Roman" w:hAnsi="Arial" w:cs="Arial"/>
          <w:color w:val="111111"/>
          <w:lang w:eastAsia="es-AR"/>
        </w:rPr>
        <w:t>/22.</w:t>
      </w:r>
    </w:p>
    <w:p w:rsidR="00AD4CA9" w:rsidRDefault="00AD4CA9" w:rsidP="00AD4CA9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>, conforme a lo dispuesto en el Decreto Nº 35/22.</w:t>
      </w:r>
    </w:p>
    <w:p w:rsidR="00AD4CA9" w:rsidRPr="008A13B8" w:rsidRDefault="00580411" w:rsidP="008A13B8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8A13B8">
        <w:rPr>
          <w:rFonts w:ascii="Arial" w:eastAsia="Times New Roman" w:hAnsi="Arial" w:cs="Arial"/>
          <w:color w:val="111111"/>
          <w:lang w:eastAsia="es-AR"/>
        </w:rPr>
        <w:t>Se continúa con el Programa Mendoza Activa, de fomento a la inversión privada impulsado por el Gobierno de Mendoza, a través de Ministerio de Economía y Energía</w:t>
      </w:r>
      <w:r w:rsidR="008A13B8">
        <w:rPr>
          <w:rFonts w:ascii="Arial" w:eastAsia="Times New Roman" w:hAnsi="Arial" w:cs="Arial"/>
          <w:color w:val="111111"/>
          <w:lang w:eastAsia="es-AR"/>
        </w:rPr>
        <w:t>. D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esde su lanzamiento en 2020 </w:t>
      </w:r>
      <w:r w:rsidRPr="008A13B8">
        <w:rPr>
          <w:rFonts w:ascii="Arial" w:eastAsia="Times New Roman" w:hAnsi="Arial" w:cs="Arial"/>
          <w:color w:val="111111"/>
          <w:lang w:eastAsia="es-AR"/>
        </w:rPr>
        <w:t>ha ido incorporando nuevas líneas de inversión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 y</w:t>
      </w:r>
      <w:r w:rsidRPr="008A13B8">
        <w:rPr>
          <w:rFonts w:ascii="Arial" w:eastAsia="Times New Roman" w:hAnsi="Arial" w:cs="Arial"/>
          <w:color w:val="111111"/>
          <w:lang w:eastAsia="es-AR"/>
        </w:rPr>
        <w:t xml:space="preserve"> se ha convertido en una herramienta de alcance federal derramando b</w:t>
      </w:r>
      <w:r w:rsidR="008A13B8" w:rsidRPr="008A13B8">
        <w:rPr>
          <w:rFonts w:ascii="Arial" w:eastAsia="Times New Roman" w:hAnsi="Arial" w:cs="Arial"/>
          <w:color w:val="111111"/>
          <w:lang w:eastAsia="es-AR"/>
        </w:rPr>
        <w:t xml:space="preserve">eneficios en todo el </w:t>
      </w:r>
      <w:r w:rsidR="008A13B8">
        <w:rPr>
          <w:rFonts w:ascii="Arial" w:eastAsia="Times New Roman" w:hAnsi="Arial" w:cs="Arial"/>
          <w:color w:val="111111"/>
          <w:lang w:eastAsia="es-AR"/>
        </w:rPr>
        <w:t>territorio provincial.</w:t>
      </w:r>
    </w:p>
    <w:p w:rsidR="00716623" w:rsidRDefault="00716623" w:rsidP="00580411">
      <w:pPr>
        <w:pStyle w:val="Prrafodelista"/>
        <w:ind w:left="284"/>
        <w:jc w:val="both"/>
        <w:rPr>
          <w:rFonts w:ascii="Arial" w:hAnsi="Arial" w:cs="Arial"/>
        </w:rPr>
      </w:pPr>
    </w:p>
    <w:p w:rsidR="00DE38A9" w:rsidRPr="00C6464E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 xml:space="preserve"> </w:t>
      </w:r>
      <w:r w:rsidR="00DE38A9" w:rsidRPr="00C6464E">
        <w:rPr>
          <w:rFonts w:ascii="Arial" w:hAnsi="Arial" w:cs="Arial"/>
        </w:rPr>
        <w:t xml:space="preserve">Las principales medidas de Política Fiscal adoptadas, tomando como instrumento los </w:t>
      </w:r>
      <w:r w:rsidR="008A13B8">
        <w:rPr>
          <w:rFonts w:ascii="Arial" w:hAnsi="Arial" w:cs="Arial"/>
        </w:rPr>
        <w:t xml:space="preserve">   </w:t>
      </w:r>
      <w:r w:rsidR="00DE38A9" w:rsidRPr="00C6464E">
        <w:rPr>
          <w:rFonts w:ascii="Arial" w:hAnsi="Arial" w:cs="Arial"/>
        </w:rPr>
        <w:t>Ingresos Público son:</w:t>
      </w:r>
    </w:p>
    <w:p w:rsidR="00D05B56" w:rsidRPr="00C6464E" w:rsidRDefault="00716623" w:rsidP="003B1D38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continúa en este ejercicio con</w:t>
      </w:r>
      <w:r w:rsidR="00750597" w:rsidRPr="00C6464E">
        <w:rPr>
          <w:rFonts w:ascii="Arial" w:hAnsi="Arial" w:cs="Arial"/>
        </w:rPr>
        <w:t xml:space="preserve"> el Programa de Emisión de Letras de Tesorería </w:t>
      </w:r>
      <w:r>
        <w:rPr>
          <w:rFonts w:ascii="Arial" w:hAnsi="Arial" w:cs="Arial"/>
        </w:rPr>
        <w:t xml:space="preserve"> </w:t>
      </w:r>
      <w:r w:rsidR="00750597" w:rsidRPr="00C6464E">
        <w:rPr>
          <w:rFonts w:ascii="Arial" w:hAnsi="Arial" w:cs="Arial"/>
        </w:rPr>
        <w:t>de la Provincia de Mendoza, con el fin de brindar herramientas de gestión ante los compromisos asumidos por el gobierno local para el ejercicio vigente.</w:t>
      </w:r>
    </w:p>
    <w:p w:rsidR="0083303C" w:rsidRDefault="00DC54E6" w:rsidP="00C678A3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t>Conforme a la</w:t>
      </w:r>
      <w:r w:rsidR="00330CAA" w:rsidRPr="00C6464E">
        <w:rPr>
          <w:rFonts w:ascii="Arial" w:hAnsi="Arial" w:cs="Arial"/>
        </w:rPr>
        <w:t>s autorizaciones de endeudamiento obtenidas en la Ley de Presupuesto vigente, se</w:t>
      </w:r>
      <w:r w:rsidRPr="00C6464E">
        <w:rPr>
          <w:rFonts w:ascii="Arial" w:hAnsi="Arial" w:cs="Arial"/>
        </w:rPr>
        <w:t xml:space="preserve"> </w:t>
      </w:r>
      <w:r w:rsidR="00A770BF">
        <w:rPr>
          <w:rFonts w:ascii="Arial" w:hAnsi="Arial" w:cs="Arial"/>
        </w:rPr>
        <w:t xml:space="preserve">gestiona la obtención de financiamiento </w:t>
      </w:r>
      <w:r w:rsidR="0024659F">
        <w:rPr>
          <w:rFonts w:ascii="Arial" w:hAnsi="Arial" w:cs="Arial"/>
        </w:rPr>
        <w:t>de acuerdo</w:t>
      </w:r>
      <w:r w:rsidR="00A770BF">
        <w:rPr>
          <w:rFonts w:ascii="Arial" w:hAnsi="Arial" w:cs="Arial"/>
        </w:rPr>
        <w:t xml:space="preserve"> a las necesidades y compromisos del gobierno provincial</w:t>
      </w:r>
      <w:r w:rsidR="00330CAA" w:rsidRPr="00C6464E">
        <w:rPr>
          <w:rFonts w:ascii="Arial" w:hAnsi="Arial" w:cs="Arial"/>
        </w:rPr>
        <w:t xml:space="preserve">. </w:t>
      </w:r>
      <w:r w:rsidR="00750597" w:rsidRPr="00C6464E">
        <w:rPr>
          <w:rFonts w:ascii="Arial" w:hAnsi="Arial" w:cs="Arial"/>
        </w:rPr>
        <w:t xml:space="preserve"> </w:t>
      </w:r>
    </w:p>
    <w:p w:rsidR="006A4761" w:rsidRDefault="00716623" w:rsidP="006A4761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C6464E">
        <w:rPr>
          <w:rFonts w:ascii="Arial" w:hAnsi="Arial" w:cs="Arial"/>
        </w:rPr>
        <w:lastRenderedPageBreak/>
        <w:t>Se continúa realizando un esfuerzo sostenido con el fin de generar accesibilidad de las herramientas informáticas habilitadas para la cancelación de los tributos vía web de una manera más ágil.</w:t>
      </w:r>
    </w:p>
    <w:p w:rsidR="00CD70DD" w:rsidRPr="00C6464E" w:rsidRDefault="00CD70DD" w:rsidP="006A4761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</w:rPr>
      </w:pPr>
    </w:p>
    <w:p w:rsidR="00CD70DD" w:rsidRPr="00C6464E" w:rsidRDefault="00CD70DD" w:rsidP="006A4761">
      <w:pPr>
        <w:spacing w:after="160" w:line="259" w:lineRule="auto"/>
        <w:ind w:left="720"/>
        <w:contextualSpacing/>
        <w:jc w:val="both"/>
        <w:rPr>
          <w:rFonts w:ascii="Arial" w:eastAsiaTheme="minorHAnsi" w:hAnsi="Arial" w:cs="Arial"/>
        </w:rPr>
      </w:pPr>
    </w:p>
    <w:p w:rsidR="00CD70DD" w:rsidRPr="00C6464E" w:rsidRDefault="00CD70DD" w:rsidP="002F3DA2">
      <w:pPr>
        <w:jc w:val="both"/>
        <w:rPr>
          <w:rFonts w:ascii="Arial" w:hAnsi="Arial" w:cs="Arial"/>
        </w:rPr>
      </w:pPr>
    </w:p>
    <w:sectPr w:rsidR="00CD70DD" w:rsidRPr="00C6464E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E01" w:rsidRDefault="00B03E01">
      <w:r>
        <w:separator/>
      </w:r>
    </w:p>
  </w:endnote>
  <w:endnote w:type="continuationSeparator" w:id="0">
    <w:p w:rsidR="00B03E01" w:rsidRDefault="00B0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E01" w:rsidRDefault="00B03E01">
      <w:r>
        <w:separator/>
      </w:r>
    </w:p>
  </w:footnote>
  <w:footnote w:type="continuationSeparator" w:id="0">
    <w:p w:rsidR="00B03E01" w:rsidRDefault="00B03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val="es-ES" w:eastAsia="es-ES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 w15:restartNumberingAfterBreak="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 w15:restartNumberingAfterBreak="0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1BA"/>
    <w:rsid w:val="000E5900"/>
    <w:rsid w:val="001022F0"/>
    <w:rsid w:val="001341E3"/>
    <w:rsid w:val="00164D90"/>
    <w:rsid w:val="001658E9"/>
    <w:rsid w:val="00175A67"/>
    <w:rsid w:val="00175E48"/>
    <w:rsid w:val="001A4660"/>
    <w:rsid w:val="001F5640"/>
    <w:rsid w:val="00217A3A"/>
    <w:rsid w:val="00242124"/>
    <w:rsid w:val="0024498D"/>
    <w:rsid w:val="0024659F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96B2D"/>
    <w:rsid w:val="003A32C3"/>
    <w:rsid w:val="003A5E7A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0411"/>
    <w:rsid w:val="00582B0A"/>
    <w:rsid w:val="00595C0E"/>
    <w:rsid w:val="005C7FBF"/>
    <w:rsid w:val="005D330C"/>
    <w:rsid w:val="00617E1A"/>
    <w:rsid w:val="00632131"/>
    <w:rsid w:val="00673D31"/>
    <w:rsid w:val="006A476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A13B8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F94"/>
    <w:rsid w:val="00AA1AAC"/>
    <w:rsid w:val="00AB1DCA"/>
    <w:rsid w:val="00AB3565"/>
    <w:rsid w:val="00AB356F"/>
    <w:rsid w:val="00AD4CA9"/>
    <w:rsid w:val="00AE1900"/>
    <w:rsid w:val="00AE4528"/>
    <w:rsid w:val="00AE4AFF"/>
    <w:rsid w:val="00B03E01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E56D5-D11D-4647-8E70-12B67CB4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Roxana Lopez</cp:lastModifiedBy>
  <cp:revision>2</cp:revision>
  <cp:lastPrinted>2018-11-14T15:05:00Z</cp:lastPrinted>
  <dcterms:created xsi:type="dcterms:W3CDTF">2022-05-30T14:59:00Z</dcterms:created>
  <dcterms:modified xsi:type="dcterms:W3CDTF">2022-05-30T14:59:00Z</dcterms:modified>
</cp:coreProperties>
</file>