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FA745A">
        <w:rPr>
          <w:rFonts w:ascii="Verdana" w:hAnsi="Verdana"/>
          <w:b/>
        </w:rPr>
        <w:t>2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FE5950">
        <w:rPr>
          <w:rFonts w:ascii="Verdana" w:hAnsi="Verdana"/>
          <w:b/>
        </w:rPr>
        <w:t>4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A63129" w:rsidRDefault="009C42E6" w:rsidP="009C42E6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r w:rsidRPr="00A63129">
        <w:rPr>
          <w:rFonts w:ascii="Verdana" w:hAnsi="Verdana"/>
          <w:b/>
          <w:sz w:val="22"/>
          <w:szCs w:val="22"/>
          <w:u w:val="single"/>
        </w:rPr>
        <w:t xml:space="preserve">CAUSAS DE </w:t>
      </w:r>
      <w:r w:rsidR="00C87007" w:rsidRPr="00A63129">
        <w:rPr>
          <w:rFonts w:ascii="Verdana" w:hAnsi="Verdana"/>
          <w:b/>
          <w:sz w:val="22"/>
          <w:szCs w:val="22"/>
          <w:u w:val="single"/>
        </w:rPr>
        <w:t xml:space="preserve">LOS </w:t>
      </w:r>
      <w:r w:rsidRPr="00A63129">
        <w:rPr>
          <w:rFonts w:ascii="Verdana" w:hAnsi="Verdana"/>
          <w:b/>
          <w:sz w:val="22"/>
          <w:szCs w:val="22"/>
          <w:u w:val="single"/>
        </w:rPr>
        <w:t xml:space="preserve">INCUMPLIMIENTOS DE LAS METAS </w:t>
      </w:r>
    </w:p>
    <w:p w:rsidR="006A1427" w:rsidRDefault="006A1427" w:rsidP="006A1427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6A1427" w:rsidRDefault="006A1427" w:rsidP="006A1427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Con respecto al recurso programado son los financiamientos que financian erogaciones y están incluidos en el CJUO 1 06 25.</w:t>
      </w:r>
      <w:r w:rsidRPr="006D0ECF">
        <w:t xml:space="preserve"> </w:t>
      </w:r>
      <w:r>
        <w:rPr>
          <w:rFonts w:ascii="Verdana" w:hAnsi="Verdana"/>
        </w:rPr>
        <w:t xml:space="preserve"> Lo Ejecutado se registra a nivel global en la Administración Central.</w:t>
      </w:r>
    </w:p>
    <w:p w:rsidR="00301FB6" w:rsidRPr="00B545E1" w:rsidRDefault="009C42E6" w:rsidP="00741B29">
      <w:pPr>
        <w:numPr>
          <w:ilvl w:val="0"/>
          <w:numId w:val="5"/>
        </w:numPr>
        <w:tabs>
          <w:tab w:val="clear" w:pos="786"/>
        </w:tabs>
        <w:spacing w:line="360" w:lineRule="auto"/>
        <w:ind w:left="720" w:hanging="425"/>
        <w:jc w:val="both"/>
        <w:rPr>
          <w:rFonts w:ascii="Verdana" w:hAnsi="Verdana"/>
        </w:rPr>
      </w:pPr>
      <w:r w:rsidRPr="00B545E1">
        <w:rPr>
          <w:rFonts w:ascii="Verdana" w:hAnsi="Verdana"/>
          <w:color w:val="000000"/>
        </w:rPr>
        <w:t xml:space="preserve">Los </w:t>
      </w:r>
      <w:r w:rsidRPr="00B545E1">
        <w:rPr>
          <w:rFonts w:ascii="Verdana" w:hAnsi="Verdana"/>
          <w:b/>
          <w:color w:val="000000"/>
          <w:u w:val="single"/>
        </w:rPr>
        <w:t>Gastos Corrientes:</w:t>
      </w:r>
      <w:r w:rsidRPr="00B545E1">
        <w:rPr>
          <w:rFonts w:ascii="Verdana" w:hAnsi="Verdana"/>
          <w:color w:val="000000"/>
        </w:rPr>
        <w:t xml:space="preserve"> </w:t>
      </w:r>
      <w:r w:rsidR="00301FB6" w:rsidRPr="00B545E1">
        <w:rPr>
          <w:rFonts w:ascii="Verdana" w:hAnsi="Verdana"/>
          <w:color w:val="000000"/>
        </w:rPr>
        <w:t xml:space="preserve">En el presente trimestre </w:t>
      </w:r>
      <w:r w:rsidR="00F36053" w:rsidRPr="00B545E1">
        <w:rPr>
          <w:rFonts w:ascii="Verdana" w:hAnsi="Verdana"/>
          <w:color w:val="000000"/>
        </w:rPr>
        <w:t xml:space="preserve">lo ejecutado es </w:t>
      </w:r>
      <w:r w:rsidR="00F36053" w:rsidRPr="00B545E1">
        <w:rPr>
          <w:rFonts w:ascii="Verdana" w:hAnsi="Verdana"/>
          <w:b/>
          <w:color w:val="000000"/>
        </w:rPr>
        <w:t xml:space="preserve">mayor </w:t>
      </w:r>
      <w:r w:rsidR="00F36053" w:rsidRPr="00B545E1">
        <w:rPr>
          <w:rFonts w:ascii="Verdana" w:hAnsi="Verdana"/>
          <w:color w:val="000000"/>
        </w:rPr>
        <w:t xml:space="preserve"> a lo programado</w:t>
      </w:r>
      <w:r w:rsidR="0017014C">
        <w:rPr>
          <w:rFonts w:ascii="Verdana" w:hAnsi="Verdana"/>
          <w:color w:val="000000"/>
        </w:rPr>
        <w:t xml:space="preserve"> </w:t>
      </w:r>
      <w:r w:rsidR="00D904D7">
        <w:rPr>
          <w:rFonts w:ascii="Verdana" w:hAnsi="Verdana"/>
          <w:color w:val="000000"/>
        </w:rPr>
        <w:t>se fundamenta en lo</w:t>
      </w:r>
      <w:r w:rsidR="00362339">
        <w:rPr>
          <w:rFonts w:ascii="Verdana" w:hAnsi="Verdana"/>
          <w:color w:val="000000"/>
        </w:rPr>
        <w:t>s incrementos por paritarias otorgado a los Agentes Estatales,</w:t>
      </w:r>
      <w:r w:rsidR="00407F95">
        <w:rPr>
          <w:rFonts w:ascii="Verdana" w:hAnsi="Verdana"/>
          <w:color w:val="000000"/>
        </w:rPr>
        <w:t xml:space="preserve"> los aumentos </w:t>
      </w:r>
      <w:r w:rsidR="00362339">
        <w:rPr>
          <w:rFonts w:ascii="Verdana" w:hAnsi="Verdana"/>
          <w:color w:val="000000"/>
        </w:rPr>
        <w:t xml:space="preserve">en </w:t>
      </w:r>
      <w:r w:rsidR="00D904D7">
        <w:rPr>
          <w:rFonts w:ascii="Verdana" w:hAnsi="Verdana"/>
          <w:color w:val="000000"/>
        </w:rPr>
        <w:t>las tarifas de los Servicios Público</w:t>
      </w:r>
      <w:r w:rsidR="00407F95">
        <w:rPr>
          <w:rFonts w:ascii="Verdana" w:hAnsi="Verdana"/>
          <w:color w:val="000000"/>
        </w:rPr>
        <w:t>s</w:t>
      </w:r>
      <w:r w:rsidR="00D904D7">
        <w:rPr>
          <w:rFonts w:ascii="Verdana" w:hAnsi="Verdana"/>
          <w:color w:val="000000"/>
        </w:rPr>
        <w:t xml:space="preserve">, en </w:t>
      </w:r>
      <w:r w:rsidR="0017014C">
        <w:rPr>
          <w:rFonts w:ascii="Verdana" w:hAnsi="Verdana"/>
          <w:color w:val="000000"/>
        </w:rPr>
        <w:t>Locaciones de S</w:t>
      </w:r>
      <w:r w:rsidR="00B545E1" w:rsidRPr="00B545E1">
        <w:rPr>
          <w:rFonts w:ascii="Verdana" w:hAnsi="Verdana"/>
          <w:color w:val="000000"/>
        </w:rPr>
        <w:t xml:space="preserve">ervicios y </w:t>
      </w:r>
      <w:r w:rsidR="0017014C">
        <w:rPr>
          <w:rFonts w:ascii="Verdana" w:hAnsi="Verdana"/>
          <w:color w:val="000000"/>
        </w:rPr>
        <w:t xml:space="preserve">diversas </w:t>
      </w:r>
      <w:r w:rsidR="00B545E1" w:rsidRPr="00B545E1">
        <w:rPr>
          <w:rFonts w:ascii="Verdana" w:hAnsi="Verdana"/>
          <w:color w:val="000000"/>
        </w:rPr>
        <w:t>adecuaciones de precios a Proveedores.</w:t>
      </w:r>
      <w:r w:rsidR="0050675F">
        <w:rPr>
          <w:rFonts w:ascii="Verdana" w:hAnsi="Verdana"/>
          <w:color w:val="000000"/>
        </w:rPr>
        <w:t xml:space="preserve"> </w:t>
      </w:r>
      <w:r w:rsidR="0017014C">
        <w:rPr>
          <w:rFonts w:ascii="Verdana" w:hAnsi="Verdana"/>
          <w:color w:val="000000"/>
        </w:rPr>
        <w:t xml:space="preserve">Además </w:t>
      </w:r>
      <w:r w:rsidR="001E0BA7">
        <w:rPr>
          <w:rFonts w:ascii="Verdana" w:hAnsi="Verdana"/>
          <w:color w:val="000000"/>
        </w:rPr>
        <w:t>en</w:t>
      </w:r>
      <w:r w:rsidR="0017014C">
        <w:rPr>
          <w:rFonts w:ascii="Verdana" w:hAnsi="Verdana"/>
          <w:color w:val="000000"/>
        </w:rPr>
        <w:t xml:space="preserve"> el nuevo Organigrama del Ministerio de Hacie</w:t>
      </w:r>
      <w:r w:rsidR="00A150DF">
        <w:rPr>
          <w:rFonts w:ascii="Verdana" w:hAnsi="Verdana"/>
          <w:color w:val="000000"/>
        </w:rPr>
        <w:t>nda y F</w:t>
      </w:r>
      <w:r w:rsidR="0017014C">
        <w:rPr>
          <w:rFonts w:ascii="Verdana" w:hAnsi="Verdana"/>
          <w:color w:val="000000"/>
        </w:rPr>
        <w:t>inanzas aprobado por Dec</w:t>
      </w:r>
      <w:r w:rsidR="00A150DF">
        <w:rPr>
          <w:rFonts w:ascii="Verdana" w:hAnsi="Verdana"/>
          <w:color w:val="000000"/>
        </w:rPr>
        <w:t>reto Nº 33/2024, se crea la</w:t>
      </w:r>
      <w:r w:rsidR="0050675F">
        <w:rPr>
          <w:rFonts w:ascii="Verdana" w:hAnsi="Verdana"/>
          <w:color w:val="000000"/>
        </w:rPr>
        <w:t xml:space="preserve"> Dirección de Política Salarial y Análisis </w:t>
      </w:r>
      <w:r w:rsidR="00A150DF">
        <w:rPr>
          <w:rFonts w:ascii="Verdana" w:hAnsi="Verdana"/>
          <w:color w:val="000000"/>
        </w:rPr>
        <w:t>del RRHH</w:t>
      </w:r>
      <w:r w:rsidR="009856D3">
        <w:rPr>
          <w:rFonts w:ascii="Verdana" w:hAnsi="Verdana"/>
          <w:color w:val="000000"/>
        </w:rPr>
        <w:t xml:space="preserve"> originando un mayor costo en la partida de personal</w:t>
      </w:r>
      <w:r w:rsidR="00A150DF">
        <w:rPr>
          <w:rFonts w:ascii="Verdana" w:hAnsi="Verdana"/>
          <w:color w:val="000000"/>
        </w:rPr>
        <w:t>.</w:t>
      </w:r>
    </w:p>
    <w:p w:rsidR="00400D4B" w:rsidRPr="00592920" w:rsidRDefault="00D904D7" w:rsidP="00CF1486">
      <w:pPr>
        <w:spacing w:line="360" w:lineRule="auto"/>
        <w:ind w:left="709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Otro factor a tener en cuenta es  la Coparticipación a los Municipios</w:t>
      </w:r>
      <w:r w:rsidR="001E0BA7">
        <w:rPr>
          <w:rFonts w:ascii="Verdana" w:hAnsi="Verdana"/>
          <w:color w:val="000000"/>
        </w:rPr>
        <w:t xml:space="preserve">,  siendo este </w:t>
      </w:r>
      <w:r w:rsidR="00383BB5">
        <w:rPr>
          <w:rFonts w:ascii="Verdana" w:hAnsi="Verdana"/>
          <w:color w:val="000000"/>
        </w:rPr>
        <w:t>mayor</w:t>
      </w:r>
      <w:r w:rsidR="001E0BA7">
        <w:rPr>
          <w:rFonts w:ascii="Verdana" w:hAnsi="Verdana"/>
          <w:color w:val="000000"/>
        </w:rPr>
        <w:t xml:space="preserve"> a lo programado</w:t>
      </w:r>
      <w:r>
        <w:rPr>
          <w:rFonts w:ascii="Verdana" w:hAnsi="Verdana"/>
          <w:color w:val="000000"/>
        </w:rPr>
        <w:t xml:space="preserve"> atento </w:t>
      </w:r>
      <w:r w:rsidR="001E0BA7">
        <w:rPr>
          <w:rFonts w:ascii="Verdana" w:hAnsi="Verdana"/>
          <w:color w:val="000000"/>
        </w:rPr>
        <w:t xml:space="preserve">a </w:t>
      </w:r>
      <w:r>
        <w:rPr>
          <w:rFonts w:ascii="Verdana" w:hAnsi="Verdana"/>
          <w:color w:val="000000"/>
        </w:rPr>
        <w:t xml:space="preserve">que la registración de la segunda quincena correspondiente al mes de </w:t>
      </w:r>
      <w:r w:rsidR="00383BB5">
        <w:rPr>
          <w:rFonts w:ascii="Verdana" w:hAnsi="Verdana"/>
          <w:color w:val="000000"/>
        </w:rPr>
        <w:t>marzo</w:t>
      </w:r>
      <w:r>
        <w:rPr>
          <w:rFonts w:ascii="Verdana" w:hAnsi="Verdana"/>
          <w:color w:val="000000"/>
        </w:rPr>
        <w:t xml:space="preserve"> 2</w:t>
      </w:r>
      <w:r w:rsidR="009856D3">
        <w:rPr>
          <w:rFonts w:ascii="Verdana" w:hAnsi="Verdana"/>
          <w:color w:val="000000"/>
        </w:rPr>
        <w:t>02</w:t>
      </w:r>
      <w:r w:rsidR="001E0BA7">
        <w:rPr>
          <w:rFonts w:ascii="Verdana" w:hAnsi="Verdana"/>
          <w:color w:val="000000"/>
        </w:rPr>
        <w:t>4</w:t>
      </w:r>
      <w:r>
        <w:rPr>
          <w:rFonts w:ascii="Verdana" w:hAnsi="Verdana"/>
          <w:color w:val="000000"/>
        </w:rPr>
        <w:t xml:space="preserve"> impacta en el 2do trimestre</w:t>
      </w:r>
      <w:r w:rsidR="00301FB6">
        <w:rPr>
          <w:rFonts w:ascii="Verdana" w:hAnsi="Verdana"/>
          <w:color w:val="000000"/>
        </w:rPr>
        <w:t>; sumando a ello las fluctuaciones de los recursos por la coparticipación Nacional percibidos por la Provincia.</w:t>
      </w:r>
    </w:p>
    <w:p w:rsidR="0050675F" w:rsidRDefault="009C42E6" w:rsidP="007B082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Verdana" w:hAnsi="Verdana"/>
        </w:rPr>
      </w:pPr>
      <w:r w:rsidRPr="007B0820">
        <w:rPr>
          <w:rFonts w:ascii="Verdana" w:hAnsi="Verdana"/>
        </w:rPr>
        <w:t xml:space="preserve">Los </w:t>
      </w:r>
      <w:r w:rsidRPr="007B0820">
        <w:rPr>
          <w:rFonts w:ascii="Verdana" w:hAnsi="Verdana"/>
          <w:b/>
          <w:u w:val="single"/>
        </w:rPr>
        <w:t>Recursos de Capital:</w:t>
      </w:r>
      <w:r w:rsidRPr="007B0820">
        <w:rPr>
          <w:rFonts w:ascii="Verdana" w:hAnsi="Verdana"/>
        </w:rPr>
        <w:t xml:space="preserve"> </w:t>
      </w:r>
      <w:r w:rsidR="00C87007" w:rsidRPr="007B0820">
        <w:rPr>
          <w:rFonts w:ascii="Verdana" w:hAnsi="Verdana"/>
        </w:rPr>
        <w:t xml:space="preserve">Se ejecutaron en el </w:t>
      </w:r>
      <w:r w:rsidR="00C87007" w:rsidRPr="007B0820">
        <w:rPr>
          <w:rFonts w:ascii="Verdana" w:hAnsi="Verdana"/>
          <w:b/>
        </w:rPr>
        <w:t>CUC 26</w:t>
      </w:r>
      <w:r w:rsidR="00C87007" w:rsidRPr="007B0820">
        <w:rPr>
          <w:rFonts w:ascii="Verdana" w:hAnsi="Verdana"/>
        </w:rPr>
        <w:t xml:space="preserve"> correspondiente a la DAABO “</w:t>
      </w:r>
      <w:r w:rsidR="00C87007" w:rsidRPr="007B0820">
        <w:rPr>
          <w:rFonts w:ascii="Verdana" w:hAnsi="Verdana"/>
          <w:b/>
        </w:rPr>
        <w:t>Recupero de Créditos</w:t>
      </w:r>
      <w:r w:rsidR="00C87007" w:rsidRPr="007B0820">
        <w:rPr>
          <w:rFonts w:ascii="Verdana" w:hAnsi="Verdana"/>
        </w:rPr>
        <w:t xml:space="preserve">” </w:t>
      </w:r>
      <w:r w:rsidR="00234920" w:rsidRPr="007B0820">
        <w:rPr>
          <w:rFonts w:ascii="Verdana" w:hAnsi="Verdana"/>
        </w:rPr>
        <w:t>(04 2470100000)</w:t>
      </w:r>
      <w:r w:rsidR="0050675F">
        <w:rPr>
          <w:rFonts w:ascii="Verdana" w:hAnsi="Verdana"/>
        </w:rPr>
        <w:t xml:space="preserve"> </w:t>
      </w:r>
      <w:r w:rsidR="0050675F" w:rsidRPr="007B0820">
        <w:rPr>
          <w:rFonts w:ascii="Verdana" w:hAnsi="Verdana"/>
        </w:rPr>
        <w:t>por un importe de $</w:t>
      </w:r>
      <w:r w:rsidR="00383BB5">
        <w:rPr>
          <w:rFonts w:ascii="Verdana" w:hAnsi="Verdana"/>
        </w:rPr>
        <w:t>340.077,94</w:t>
      </w:r>
      <w:r w:rsidR="0050675F" w:rsidRPr="007B0820">
        <w:rPr>
          <w:rFonts w:ascii="Verdana" w:hAnsi="Verdana"/>
        </w:rPr>
        <w:t xml:space="preserve"> (Pesos </w:t>
      </w:r>
      <w:r w:rsidR="00383BB5">
        <w:rPr>
          <w:rFonts w:ascii="Verdana" w:hAnsi="Verdana"/>
        </w:rPr>
        <w:t>trescientos cuarenta mil setenta y siete con 94/100</w:t>
      </w:r>
      <w:r w:rsidR="0050675F" w:rsidRPr="007B0820">
        <w:rPr>
          <w:rFonts w:ascii="Verdana" w:hAnsi="Verdana"/>
        </w:rPr>
        <w:t>)</w:t>
      </w:r>
      <w:r w:rsidR="00C87007" w:rsidRPr="007B0820">
        <w:rPr>
          <w:rFonts w:ascii="Verdana" w:hAnsi="Verdana"/>
        </w:rPr>
        <w:t>. Con res</w:t>
      </w:r>
      <w:r w:rsidR="0050675F">
        <w:rPr>
          <w:rFonts w:ascii="Verdana" w:hAnsi="Verdana"/>
        </w:rPr>
        <w:t>pecto a este</w:t>
      </w:r>
      <w:r w:rsidR="00C87007" w:rsidRPr="007B0820">
        <w:rPr>
          <w:rFonts w:ascii="Verdana" w:hAnsi="Verdana"/>
        </w:rPr>
        <w:t xml:space="preserve"> recurso de la DABBO, el organismo no ha realizado la programación en el ejercicio, concluyendo con un recurso a favor</w:t>
      </w:r>
      <w:r w:rsidR="0006121F" w:rsidRPr="007B0820">
        <w:rPr>
          <w:rFonts w:ascii="Verdana" w:hAnsi="Verdana"/>
        </w:rPr>
        <w:t>.</w:t>
      </w:r>
      <w:r w:rsidR="00B33656" w:rsidRPr="007B0820">
        <w:rPr>
          <w:rFonts w:ascii="Verdana" w:hAnsi="Verdana"/>
        </w:rPr>
        <w:t xml:space="preserve"> </w:t>
      </w:r>
    </w:p>
    <w:p w:rsidR="0050675F" w:rsidRDefault="0050675F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134312" w:rsidRPr="006349A0" w:rsidRDefault="00B33656" w:rsidP="0033494D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6349A0">
        <w:rPr>
          <w:rFonts w:ascii="Verdana" w:hAnsi="Verdana"/>
          <w:color w:val="000000"/>
        </w:rPr>
        <w:lastRenderedPageBreak/>
        <w:t xml:space="preserve">Los </w:t>
      </w:r>
      <w:r w:rsidRPr="006349A0">
        <w:rPr>
          <w:rFonts w:ascii="Verdana" w:hAnsi="Verdana"/>
          <w:b/>
          <w:color w:val="000000"/>
          <w:u w:val="single"/>
        </w:rPr>
        <w:t>Gastos de Capital:</w:t>
      </w:r>
      <w:r w:rsidRPr="006349A0">
        <w:rPr>
          <w:rFonts w:ascii="Verdana" w:hAnsi="Verdana"/>
          <w:color w:val="000000"/>
        </w:rPr>
        <w:t xml:space="preserve">  </w:t>
      </w:r>
      <w:r w:rsidR="0006121F" w:rsidRPr="006349A0">
        <w:rPr>
          <w:rFonts w:ascii="Verdana" w:hAnsi="Verdana"/>
          <w:color w:val="000000"/>
        </w:rPr>
        <w:t xml:space="preserve"> </w:t>
      </w:r>
      <w:r w:rsidR="00235AB1" w:rsidRPr="006349A0">
        <w:rPr>
          <w:rFonts w:ascii="Verdana" w:hAnsi="Verdana"/>
          <w:color w:val="000000"/>
        </w:rPr>
        <w:t>En el presente trimestre, en este concepto  se ejecutaron erogaciones de capital por el</w:t>
      </w:r>
      <w:r w:rsidR="00235AB1" w:rsidRPr="006349A0">
        <w:rPr>
          <w:rFonts w:ascii="Verdana" w:hAnsi="Verdana"/>
        </w:rPr>
        <w:t xml:space="preserve"> monto de $</w:t>
      </w:r>
      <w:r w:rsidR="00517899" w:rsidRPr="006349A0">
        <w:rPr>
          <w:rFonts w:ascii="Verdana" w:hAnsi="Verdana"/>
        </w:rPr>
        <w:t>1</w:t>
      </w:r>
      <w:r w:rsidR="001D07CB">
        <w:rPr>
          <w:rFonts w:ascii="Verdana" w:hAnsi="Verdana"/>
        </w:rPr>
        <w:t>.</w:t>
      </w:r>
      <w:r w:rsidR="00383BB5">
        <w:rPr>
          <w:rFonts w:ascii="Verdana" w:hAnsi="Verdana"/>
        </w:rPr>
        <w:t>526.601</w:t>
      </w:r>
      <w:r w:rsidR="00235AB1" w:rsidRPr="006349A0">
        <w:rPr>
          <w:rFonts w:ascii="Verdana" w:hAnsi="Verdana"/>
        </w:rPr>
        <w:t xml:space="preserve"> (</w:t>
      </w:r>
      <w:r w:rsidR="00C83304" w:rsidRPr="006349A0">
        <w:rPr>
          <w:rFonts w:ascii="Verdana" w:hAnsi="Verdana"/>
        </w:rPr>
        <w:t>pesos</w:t>
      </w:r>
      <w:r w:rsidR="00D55840" w:rsidRPr="006349A0">
        <w:rPr>
          <w:rFonts w:ascii="Verdana" w:hAnsi="Verdana"/>
        </w:rPr>
        <w:t xml:space="preserve"> un millón </w:t>
      </w:r>
      <w:r w:rsidR="00221923">
        <w:rPr>
          <w:rFonts w:ascii="Verdana" w:hAnsi="Verdana"/>
        </w:rPr>
        <w:t>quinientos veintiséis</w:t>
      </w:r>
      <w:r w:rsidR="00D55840" w:rsidRPr="006349A0">
        <w:rPr>
          <w:rFonts w:ascii="Verdana" w:hAnsi="Verdana"/>
        </w:rPr>
        <w:t xml:space="preserve"> </w:t>
      </w:r>
      <w:r w:rsidR="00517899" w:rsidRPr="006349A0">
        <w:rPr>
          <w:rFonts w:ascii="Verdana" w:hAnsi="Verdana"/>
        </w:rPr>
        <w:t xml:space="preserve">mil </w:t>
      </w:r>
      <w:r w:rsidR="00221923">
        <w:rPr>
          <w:rFonts w:ascii="Verdana" w:hAnsi="Verdana"/>
        </w:rPr>
        <w:t>seiscientos uno</w:t>
      </w:r>
      <w:r w:rsidR="00235AB1" w:rsidRPr="006349A0">
        <w:rPr>
          <w:rFonts w:ascii="Verdana" w:hAnsi="Verdana"/>
        </w:rPr>
        <w:t xml:space="preserve">); </w:t>
      </w:r>
      <w:r w:rsidR="00A33893" w:rsidRPr="006349A0">
        <w:rPr>
          <w:rFonts w:ascii="Verdana" w:hAnsi="Verdana"/>
        </w:rPr>
        <w:t>correspondiente</w:t>
      </w:r>
      <w:r w:rsidR="00235AB1" w:rsidRPr="006349A0">
        <w:rPr>
          <w:rFonts w:ascii="Verdana" w:hAnsi="Verdana"/>
        </w:rPr>
        <w:t xml:space="preserve"> a </w:t>
      </w:r>
      <w:r w:rsidR="00BB211B" w:rsidRPr="006349A0">
        <w:rPr>
          <w:rFonts w:ascii="Verdana" w:hAnsi="Verdana"/>
          <w:b/>
        </w:rPr>
        <w:t>Di</w:t>
      </w:r>
      <w:r w:rsidR="00235AB1" w:rsidRPr="006349A0">
        <w:rPr>
          <w:rFonts w:ascii="Verdana" w:hAnsi="Verdana"/>
          <w:b/>
        </w:rPr>
        <w:t>versas compras de Bienes de Capital</w:t>
      </w:r>
      <w:r w:rsidR="00F611E7" w:rsidRPr="006349A0">
        <w:rPr>
          <w:rFonts w:ascii="Verdana" w:hAnsi="Verdana"/>
          <w:b/>
        </w:rPr>
        <w:t xml:space="preserve"> </w:t>
      </w:r>
      <w:r w:rsidR="006349A0">
        <w:rPr>
          <w:rFonts w:ascii="Verdana" w:hAnsi="Verdana"/>
          <w:b/>
        </w:rPr>
        <w:t xml:space="preserve"> </w:t>
      </w:r>
      <w:r w:rsidR="006349A0" w:rsidRPr="006349A0">
        <w:rPr>
          <w:rFonts w:ascii="Verdana" w:hAnsi="Verdana"/>
        </w:rPr>
        <w:t>en</w:t>
      </w:r>
      <w:r w:rsidR="00A33893" w:rsidRPr="006349A0">
        <w:rPr>
          <w:rFonts w:ascii="Verdana" w:hAnsi="Verdana"/>
        </w:rPr>
        <w:t xml:space="preserve"> las siguientes reparticiones</w:t>
      </w:r>
      <w:r w:rsidR="00A33893" w:rsidRPr="006349A0">
        <w:rPr>
          <w:rFonts w:ascii="Verdana" w:hAnsi="Verdana"/>
          <w:b/>
        </w:rPr>
        <w:t>:</w:t>
      </w:r>
      <w:r w:rsidR="0070200A" w:rsidRPr="006349A0">
        <w:rPr>
          <w:rFonts w:ascii="Verdana" w:hAnsi="Verdana"/>
        </w:rPr>
        <w:t xml:space="preserve"> </w:t>
      </w:r>
      <w:r w:rsidR="0070200A" w:rsidRPr="006349A0">
        <w:rPr>
          <w:rFonts w:ascii="Verdana" w:hAnsi="Verdana"/>
          <w:b/>
        </w:rPr>
        <w:t>1)</w:t>
      </w:r>
      <w:r w:rsidR="00FA745A">
        <w:rPr>
          <w:rFonts w:ascii="Verdana" w:hAnsi="Verdana"/>
          <w:b/>
        </w:rPr>
        <w:t xml:space="preserve"> Ministerio de Hacienda y Finanzas</w:t>
      </w:r>
      <w:r w:rsidR="004663E8">
        <w:rPr>
          <w:rFonts w:ascii="Verdana" w:hAnsi="Verdana"/>
          <w:b/>
        </w:rPr>
        <w:t xml:space="preserve"> 1 (</w:t>
      </w:r>
      <w:r w:rsidR="004663E8">
        <w:rPr>
          <w:rFonts w:ascii="Verdana" w:hAnsi="Verdana"/>
        </w:rPr>
        <w:t>Un</w:t>
      </w:r>
      <w:r w:rsidR="00015192">
        <w:rPr>
          <w:rFonts w:ascii="Verdana" w:hAnsi="Verdana"/>
        </w:rPr>
        <w:t>)</w:t>
      </w:r>
      <w:r w:rsidR="004663E8">
        <w:rPr>
          <w:rFonts w:ascii="Verdana" w:hAnsi="Verdana"/>
        </w:rPr>
        <w:t xml:space="preserve"> matafuego de 5 kg tipo ABC por un monto total de $118.900,00 ( pesos ciento dieciocho mil novecientos) </w:t>
      </w:r>
      <w:r w:rsidR="004663E8" w:rsidRPr="004663E8">
        <w:rPr>
          <w:rFonts w:ascii="Verdana" w:hAnsi="Verdana"/>
          <w:b/>
        </w:rPr>
        <w:t>2)</w:t>
      </w:r>
      <w:r w:rsidR="003967A2" w:rsidRPr="006349A0">
        <w:rPr>
          <w:rFonts w:ascii="Verdana" w:hAnsi="Verdana"/>
        </w:rPr>
        <w:t xml:space="preserve"> </w:t>
      </w:r>
      <w:r w:rsidR="006349A0" w:rsidRPr="006349A0">
        <w:rPr>
          <w:rFonts w:ascii="Verdana" w:hAnsi="Verdana"/>
          <w:b/>
        </w:rPr>
        <w:t>Dirección General de Presupuesto</w:t>
      </w:r>
      <w:r w:rsidR="00235AB1" w:rsidRPr="006349A0">
        <w:rPr>
          <w:rFonts w:ascii="Verdana" w:hAnsi="Verdana"/>
        </w:rPr>
        <w:t xml:space="preserve"> </w:t>
      </w:r>
      <w:r w:rsidR="008220DF" w:rsidRPr="006349A0">
        <w:rPr>
          <w:rFonts w:ascii="Verdana" w:hAnsi="Verdana"/>
        </w:rPr>
        <w:t xml:space="preserve"> (</w:t>
      </w:r>
      <w:r w:rsidR="00114ECA" w:rsidRPr="006349A0">
        <w:rPr>
          <w:rFonts w:ascii="Verdana" w:hAnsi="Verdana"/>
        </w:rPr>
        <w:t>Un</w:t>
      </w:r>
      <w:r w:rsidR="001D07CB">
        <w:rPr>
          <w:rFonts w:ascii="Verdana" w:hAnsi="Verdana"/>
        </w:rPr>
        <w:t>a</w:t>
      </w:r>
      <w:r w:rsidR="008220DF" w:rsidRPr="006349A0">
        <w:rPr>
          <w:rFonts w:ascii="Verdana" w:hAnsi="Verdana"/>
        </w:rPr>
        <w:t>)</w:t>
      </w:r>
      <w:r w:rsidR="00114ECA" w:rsidRPr="006349A0">
        <w:rPr>
          <w:rFonts w:ascii="Verdana" w:hAnsi="Verdana"/>
        </w:rPr>
        <w:t xml:space="preserve"> </w:t>
      </w:r>
      <w:r w:rsidR="001D07CB">
        <w:rPr>
          <w:rFonts w:ascii="Verdana" w:hAnsi="Verdana"/>
        </w:rPr>
        <w:t xml:space="preserve">Computadora </w:t>
      </w:r>
      <w:r w:rsidR="0079451A" w:rsidRPr="006349A0">
        <w:rPr>
          <w:rFonts w:ascii="Verdana" w:hAnsi="Verdana"/>
        </w:rPr>
        <w:t>por un monto total de $</w:t>
      </w:r>
      <w:r w:rsidR="00C63D66" w:rsidRPr="006349A0">
        <w:rPr>
          <w:rFonts w:ascii="Verdana" w:hAnsi="Verdana"/>
        </w:rPr>
        <w:t>1.</w:t>
      </w:r>
      <w:r w:rsidR="004663E8">
        <w:rPr>
          <w:rFonts w:ascii="Verdana" w:hAnsi="Verdana"/>
        </w:rPr>
        <w:t>045.126</w:t>
      </w:r>
      <w:r w:rsidR="00462187" w:rsidRPr="006349A0">
        <w:rPr>
          <w:rFonts w:ascii="Verdana" w:hAnsi="Verdana"/>
        </w:rPr>
        <w:t>,00</w:t>
      </w:r>
      <w:r w:rsidR="0079451A" w:rsidRPr="006349A0">
        <w:rPr>
          <w:rFonts w:ascii="Verdana" w:hAnsi="Verdana"/>
        </w:rPr>
        <w:t xml:space="preserve"> (pesos </w:t>
      </w:r>
      <w:r w:rsidR="004663E8">
        <w:rPr>
          <w:rFonts w:ascii="Verdana" w:hAnsi="Verdana"/>
        </w:rPr>
        <w:t xml:space="preserve">un millón </w:t>
      </w:r>
      <w:r w:rsidR="001D07CB">
        <w:rPr>
          <w:rFonts w:ascii="Verdana" w:hAnsi="Verdana"/>
        </w:rPr>
        <w:t>cuarenta</w:t>
      </w:r>
      <w:r w:rsidR="004663E8">
        <w:rPr>
          <w:rFonts w:ascii="Verdana" w:hAnsi="Verdana"/>
        </w:rPr>
        <w:t xml:space="preserve"> y cinco</w:t>
      </w:r>
      <w:r w:rsidR="00C63D66" w:rsidRPr="006349A0">
        <w:rPr>
          <w:rFonts w:ascii="Verdana" w:hAnsi="Verdana"/>
        </w:rPr>
        <w:t xml:space="preserve"> mil </w:t>
      </w:r>
      <w:r w:rsidR="001D07CB">
        <w:rPr>
          <w:rFonts w:ascii="Verdana" w:hAnsi="Verdana"/>
        </w:rPr>
        <w:t>ciento veintiséis</w:t>
      </w:r>
      <w:r w:rsidR="0079451A" w:rsidRPr="006349A0">
        <w:rPr>
          <w:rFonts w:ascii="Verdana" w:hAnsi="Verdana"/>
        </w:rPr>
        <w:t>)</w:t>
      </w:r>
      <w:r w:rsidR="004663E8">
        <w:rPr>
          <w:rFonts w:ascii="Verdana" w:hAnsi="Verdana"/>
        </w:rPr>
        <w:t xml:space="preserve"> y 1 (uno) monitor </w:t>
      </w:r>
      <w:proofErr w:type="spellStart"/>
      <w:r w:rsidR="004663E8">
        <w:rPr>
          <w:rFonts w:ascii="Verdana" w:hAnsi="Verdana"/>
        </w:rPr>
        <w:t>Led</w:t>
      </w:r>
      <w:proofErr w:type="spellEnd"/>
      <w:r w:rsidR="004663E8">
        <w:rPr>
          <w:rFonts w:ascii="Verdana" w:hAnsi="Verdana"/>
        </w:rPr>
        <w:t xml:space="preserve"> por un monto total de $95.000,00 (pesos noventa y cinco mil)</w:t>
      </w:r>
      <w:r w:rsidR="00407F95">
        <w:rPr>
          <w:rFonts w:ascii="Verdana" w:hAnsi="Verdana"/>
        </w:rPr>
        <w:t>, los que se asignaron a los Asesores</w:t>
      </w:r>
      <w:r w:rsidR="001D07CB">
        <w:rPr>
          <w:rFonts w:ascii="Verdana" w:hAnsi="Verdana"/>
        </w:rPr>
        <w:t xml:space="preserve"> del Ministerio de Hacienda y Finanza</w:t>
      </w:r>
      <w:r w:rsidR="003967A2" w:rsidRPr="006349A0">
        <w:rPr>
          <w:rFonts w:ascii="Verdana" w:hAnsi="Verdana"/>
        </w:rPr>
        <w:t xml:space="preserve">; </w:t>
      </w:r>
      <w:r w:rsidR="004663E8" w:rsidRPr="00015192">
        <w:rPr>
          <w:rFonts w:ascii="Verdana" w:hAnsi="Verdana"/>
          <w:b/>
        </w:rPr>
        <w:t>3</w:t>
      </w:r>
      <w:r w:rsidR="0070200A" w:rsidRPr="006349A0">
        <w:rPr>
          <w:rFonts w:ascii="Verdana" w:hAnsi="Verdana"/>
          <w:b/>
        </w:rPr>
        <w:t>)</w:t>
      </w:r>
      <w:r w:rsidR="004663E8">
        <w:rPr>
          <w:rFonts w:ascii="Verdana" w:hAnsi="Verdana"/>
          <w:b/>
        </w:rPr>
        <w:t>Contaduría General de la Provincia</w:t>
      </w:r>
      <w:r w:rsidR="006349A0" w:rsidRPr="006349A0">
        <w:rPr>
          <w:rFonts w:ascii="Verdana" w:hAnsi="Verdana"/>
          <w:b/>
        </w:rPr>
        <w:t xml:space="preserve"> </w:t>
      </w:r>
      <w:r w:rsidR="006349A0" w:rsidRPr="006349A0">
        <w:rPr>
          <w:rFonts w:ascii="Verdana" w:hAnsi="Verdana"/>
        </w:rPr>
        <w:t>1 (</w:t>
      </w:r>
      <w:r w:rsidR="00355D5B">
        <w:rPr>
          <w:rFonts w:ascii="Verdana" w:hAnsi="Verdana"/>
        </w:rPr>
        <w:t>U</w:t>
      </w:r>
      <w:r w:rsidR="006349A0" w:rsidRPr="006349A0">
        <w:rPr>
          <w:rFonts w:ascii="Verdana" w:hAnsi="Verdana"/>
        </w:rPr>
        <w:t>n</w:t>
      </w:r>
      <w:r w:rsidR="006349A0" w:rsidRPr="006349A0">
        <w:rPr>
          <w:rFonts w:ascii="Verdana" w:hAnsi="Verdana"/>
          <w:b/>
        </w:rPr>
        <w:t xml:space="preserve">) </w:t>
      </w:r>
      <w:r w:rsidR="004663E8">
        <w:rPr>
          <w:rFonts w:ascii="Verdana" w:hAnsi="Verdana"/>
          <w:b/>
        </w:rPr>
        <w:t>Extractor purificador de aire</w:t>
      </w:r>
      <w:r w:rsidR="00244FDC" w:rsidRPr="006349A0">
        <w:rPr>
          <w:rFonts w:ascii="Verdana" w:hAnsi="Verdana"/>
        </w:rPr>
        <w:t xml:space="preserve"> por un monto total de $</w:t>
      </w:r>
      <w:r w:rsidR="00015192">
        <w:rPr>
          <w:rFonts w:ascii="Verdana" w:hAnsi="Verdana"/>
        </w:rPr>
        <w:t>69.575,00</w:t>
      </w:r>
      <w:r w:rsidR="00244FDC" w:rsidRPr="006349A0">
        <w:rPr>
          <w:rFonts w:ascii="Verdana" w:hAnsi="Verdana"/>
        </w:rPr>
        <w:t xml:space="preserve"> (pesos </w:t>
      </w:r>
      <w:r w:rsidR="00015192">
        <w:rPr>
          <w:rFonts w:ascii="Verdana" w:hAnsi="Verdana"/>
        </w:rPr>
        <w:t>sesenta y nueve mil quinientos setenta y cinco</w:t>
      </w:r>
      <w:r w:rsidR="00244FDC" w:rsidRPr="006349A0">
        <w:rPr>
          <w:rFonts w:ascii="Verdana" w:hAnsi="Verdana"/>
        </w:rPr>
        <w:t>)</w:t>
      </w:r>
      <w:r w:rsidR="00077734" w:rsidRPr="006349A0">
        <w:rPr>
          <w:rFonts w:ascii="Verdana" w:hAnsi="Verdana"/>
        </w:rPr>
        <w:t xml:space="preserve"> y </w:t>
      </w:r>
      <w:r w:rsidR="00015192">
        <w:rPr>
          <w:rFonts w:ascii="Verdana" w:hAnsi="Verdana"/>
        </w:rPr>
        <w:t>4</w:t>
      </w:r>
      <w:r w:rsidR="00F6321E" w:rsidRPr="006349A0">
        <w:rPr>
          <w:rFonts w:ascii="Verdana" w:hAnsi="Verdana"/>
          <w:b/>
        </w:rPr>
        <w:t xml:space="preserve">) </w:t>
      </w:r>
      <w:r w:rsidR="00BC70C6" w:rsidRPr="006349A0">
        <w:rPr>
          <w:rFonts w:ascii="Verdana" w:hAnsi="Verdana"/>
          <w:b/>
        </w:rPr>
        <w:t xml:space="preserve">Dirección General </w:t>
      </w:r>
      <w:r w:rsidR="00015192">
        <w:rPr>
          <w:rFonts w:ascii="Verdana" w:hAnsi="Verdana"/>
          <w:b/>
        </w:rPr>
        <w:t>Contrataciones Públicas y Gestión de Bienes</w:t>
      </w:r>
      <w:r w:rsidR="00077734" w:rsidRPr="006349A0">
        <w:rPr>
          <w:rFonts w:ascii="Verdana" w:hAnsi="Verdana"/>
          <w:b/>
        </w:rPr>
        <w:t xml:space="preserve"> </w:t>
      </w:r>
      <w:r w:rsidR="0097737E" w:rsidRPr="006349A0">
        <w:rPr>
          <w:rFonts w:ascii="Verdana" w:hAnsi="Verdana"/>
        </w:rPr>
        <w:t>1 (</w:t>
      </w:r>
      <w:r w:rsidR="00077734" w:rsidRPr="006349A0">
        <w:rPr>
          <w:rFonts w:ascii="Verdana" w:hAnsi="Verdana"/>
        </w:rPr>
        <w:t>Un</w:t>
      </w:r>
      <w:r w:rsidR="0097737E" w:rsidRPr="006349A0">
        <w:rPr>
          <w:rFonts w:ascii="Verdana" w:hAnsi="Verdana"/>
        </w:rPr>
        <w:t>)</w:t>
      </w:r>
      <w:r w:rsidR="00077734" w:rsidRPr="006349A0">
        <w:rPr>
          <w:rFonts w:ascii="Verdana" w:hAnsi="Verdana"/>
        </w:rPr>
        <w:t xml:space="preserve"> </w:t>
      </w:r>
      <w:r w:rsidR="00355D5B">
        <w:rPr>
          <w:rFonts w:ascii="Verdana" w:hAnsi="Verdana"/>
        </w:rPr>
        <w:t>matafuego de 10Kg tipo ABC</w:t>
      </w:r>
      <w:r w:rsidR="00077734" w:rsidRPr="006349A0">
        <w:rPr>
          <w:rFonts w:ascii="Verdana" w:hAnsi="Verdana"/>
        </w:rPr>
        <w:t xml:space="preserve"> por un monto total de $</w:t>
      </w:r>
      <w:r w:rsidR="00355D5B">
        <w:rPr>
          <w:rFonts w:ascii="Verdana" w:hAnsi="Verdana"/>
        </w:rPr>
        <w:t>198.000,00</w:t>
      </w:r>
      <w:r w:rsidR="00077734" w:rsidRPr="006349A0">
        <w:rPr>
          <w:rFonts w:ascii="Verdana" w:hAnsi="Verdana"/>
        </w:rPr>
        <w:t xml:space="preserve"> (pesos </w:t>
      </w:r>
      <w:r w:rsidR="00355D5B">
        <w:rPr>
          <w:rFonts w:ascii="Verdana" w:hAnsi="Verdana"/>
        </w:rPr>
        <w:t>ciento noventa y ocho mil</w:t>
      </w:r>
      <w:r w:rsidR="00077734" w:rsidRPr="006349A0">
        <w:rPr>
          <w:rFonts w:ascii="Verdana" w:hAnsi="Verdana"/>
        </w:rPr>
        <w:t>).</w:t>
      </w:r>
    </w:p>
    <w:p w:rsidR="00346CA3" w:rsidRPr="00A461FE" w:rsidRDefault="00136061" w:rsidP="000A1240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A461FE">
        <w:rPr>
          <w:rFonts w:ascii="Verdana" w:hAnsi="Verdana"/>
        </w:rPr>
        <w:t xml:space="preserve">En </w:t>
      </w:r>
      <w:r w:rsidRPr="00A461FE">
        <w:rPr>
          <w:rFonts w:ascii="Verdana" w:hAnsi="Verdana"/>
          <w:b/>
          <w:u w:val="single"/>
        </w:rPr>
        <w:t>Recursos Figurativos:</w:t>
      </w:r>
      <w:r w:rsidRPr="00A461FE">
        <w:rPr>
          <w:rFonts w:ascii="Verdana" w:hAnsi="Verdana"/>
          <w:b/>
        </w:rPr>
        <w:t xml:space="preserve"> </w:t>
      </w:r>
      <w:r w:rsidR="001E0BA7">
        <w:rPr>
          <w:rFonts w:ascii="Verdana" w:hAnsi="Verdana"/>
        </w:rPr>
        <w:t xml:space="preserve">Con respecto </w:t>
      </w:r>
      <w:r w:rsidR="003722E0" w:rsidRPr="00A461FE">
        <w:rPr>
          <w:rFonts w:ascii="Verdana" w:hAnsi="Verdana"/>
        </w:rPr>
        <w:t>a este Recurso Figurativo    “</w:t>
      </w:r>
      <w:r w:rsidR="003722E0" w:rsidRPr="00A461FE">
        <w:rPr>
          <w:rFonts w:ascii="Verdana" w:hAnsi="Verdana"/>
          <w:b/>
        </w:rPr>
        <w:t>Fin.176 –  Fondo Instituto de Juegos y Casinos para programas de Salud”</w:t>
      </w:r>
      <w:r w:rsidR="003722E0" w:rsidRPr="00A461FE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A461FE">
        <w:rPr>
          <w:rFonts w:ascii="Verdana" w:hAnsi="Verdana"/>
        </w:rPr>
        <w:t>Notti</w:t>
      </w:r>
      <w:proofErr w:type="spellEnd"/>
      <w:r w:rsidR="003722E0" w:rsidRPr="00A461FE">
        <w:rPr>
          <w:rFonts w:ascii="Verdana" w:hAnsi="Verdana"/>
        </w:rPr>
        <w:t>, quien ejecutará el gasto real con este financiamiento. El ingreso del Recurso  debe analizarse a nivel global en la Administración</w:t>
      </w:r>
      <w:r w:rsidR="00B25BFC" w:rsidRPr="00A461FE">
        <w:rPr>
          <w:rFonts w:ascii="Verdana" w:hAnsi="Verdana"/>
        </w:rPr>
        <w:t xml:space="preserve"> Central</w:t>
      </w:r>
      <w:r w:rsidR="003722E0" w:rsidRPr="00A461FE">
        <w:rPr>
          <w:rFonts w:ascii="Verdana" w:hAnsi="Verdana"/>
        </w:rPr>
        <w:t xml:space="preserve">.                 </w:t>
      </w:r>
      <w:r w:rsidRPr="00A461FE">
        <w:rPr>
          <w:rFonts w:ascii="Verdana" w:hAnsi="Verdana"/>
        </w:rPr>
        <w:t xml:space="preserve"> </w:t>
      </w:r>
    </w:p>
    <w:p w:rsidR="003B1388" w:rsidRPr="008738CC" w:rsidRDefault="00136061" w:rsidP="00852310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A461FE">
        <w:rPr>
          <w:rFonts w:ascii="Verdana" w:hAnsi="Verdana"/>
        </w:rPr>
        <w:t xml:space="preserve">En </w:t>
      </w:r>
      <w:r w:rsidRPr="00A461FE">
        <w:rPr>
          <w:rFonts w:ascii="Verdana" w:hAnsi="Verdana"/>
          <w:b/>
          <w:u w:val="single"/>
        </w:rPr>
        <w:t>Gastos Figurativos:</w:t>
      </w:r>
      <w:r w:rsidR="00606D2B" w:rsidRPr="00A461FE">
        <w:rPr>
          <w:rFonts w:ascii="Verdana" w:hAnsi="Verdana"/>
          <w:b/>
          <w:u w:val="single"/>
        </w:rPr>
        <w:t xml:space="preserve"> </w:t>
      </w:r>
      <w:r w:rsidR="003722E0" w:rsidRPr="00A461FE">
        <w:rPr>
          <w:rFonts w:ascii="Verdana" w:hAnsi="Verdana"/>
        </w:rPr>
        <w:t xml:space="preserve">El gasto figurativo </w:t>
      </w:r>
      <w:r w:rsidR="0040796A" w:rsidRPr="00A461FE">
        <w:rPr>
          <w:rFonts w:ascii="Verdana" w:hAnsi="Verdana"/>
        </w:rPr>
        <w:t xml:space="preserve"> ($ </w:t>
      </w:r>
      <w:r w:rsidR="001B2C86">
        <w:rPr>
          <w:rFonts w:ascii="Verdana" w:hAnsi="Verdana"/>
        </w:rPr>
        <w:t>278.531.816.435,65</w:t>
      </w:r>
      <w:r w:rsidR="0040796A" w:rsidRPr="00A461FE">
        <w:rPr>
          <w:rFonts w:ascii="Verdana" w:hAnsi="Verdana"/>
        </w:rPr>
        <w:t xml:space="preserve">) </w:t>
      </w:r>
      <w:r w:rsidR="003722E0" w:rsidRPr="00A461FE">
        <w:rPr>
          <w:rFonts w:ascii="Verdana" w:hAnsi="Verdana"/>
        </w:rPr>
        <w:t xml:space="preserve">es mayor al </w:t>
      </w:r>
      <w:r w:rsidR="00B25BFC" w:rsidRPr="00A461FE">
        <w:rPr>
          <w:rFonts w:ascii="Verdana" w:hAnsi="Verdana"/>
        </w:rPr>
        <w:t>programado</w:t>
      </w:r>
      <w:r w:rsidR="0040796A" w:rsidRPr="00A461FE">
        <w:rPr>
          <w:rFonts w:ascii="Verdana" w:hAnsi="Verdana"/>
        </w:rPr>
        <w:t xml:space="preserve"> </w:t>
      </w:r>
      <w:r w:rsidR="006349A0">
        <w:rPr>
          <w:rFonts w:ascii="Verdana" w:hAnsi="Verdana"/>
        </w:rPr>
        <w:t>(</w:t>
      </w:r>
      <w:r w:rsidR="00A66E77">
        <w:rPr>
          <w:rFonts w:ascii="Verdana" w:hAnsi="Verdana"/>
        </w:rPr>
        <w:t>$</w:t>
      </w:r>
      <w:r w:rsidR="001B2C86">
        <w:rPr>
          <w:rFonts w:ascii="Verdana" w:hAnsi="Verdana"/>
        </w:rPr>
        <w:t>170.737.301.048,09</w:t>
      </w:r>
      <w:r w:rsidR="0040796A" w:rsidRPr="00A461FE">
        <w:rPr>
          <w:rFonts w:ascii="Verdana" w:hAnsi="Verdana"/>
        </w:rPr>
        <w:t>)</w:t>
      </w:r>
      <w:r w:rsidR="003722E0" w:rsidRPr="00A461FE">
        <w:rPr>
          <w:rFonts w:ascii="Verdana" w:hAnsi="Verdana"/>
        </w:rPr>
        <w:t>, no obstante el análisis del presente gasto s</w:t>
      </w:r>
      <w:r w:rsidR="003722E0" w:rsidRPr="00A461FE">
        <w:rPr>
          <w:rFonts w:ascii="Verdana" w:hAnsi="Verdana"/>
          <w:u w:val="single" w:color="FFFFFF" w:themeColor="background1"/>
        </w:rPr>
        <w:t xml:space="preserve">e realiza a </w:t>
      </w:r>
      <w:r w:rsidR="003722E0" w:rsidRPr="00A461FE">
        <w:rPr>
          <w:rFonts w:ascii="Verdana" w:hAnsi="Verdana"/>
        </w:rPr>
        <w:t>nivel global en la Administración Central.</w:t>
      </w:r>
      <w:r w:rsidR="003722E0" w:rsidRPr="00A461FE">
        <w:rPr>
          <w:rFonts w:ascii="Verdana" w:hAnsi="Verdana"/>
          <w:u w:val="single" w:color="FFFFFF" w:themeColor="background1"/>
        </w:rPr>
        <w:t xml:space="preserve"> </w:t>
      </w:r>
    </w:p>
    <w:p w:rsidR="008738CC" w:rsidRDefault="008738CC">
      <w:pPr>
        <w:rPr>
          <w:rFonts w:ascii="Verdana" w:hAnsi="Verdana"/>
          <w:u w:val="single" w:color="FFFFFF" w:themeColor="background1"/>
        </w:rPr>
      </w:pPr>
      <w:r>
        <w:rPr>
          <w:rFonts w:ascii="Verdana" w:hAnsi="Verdana"/>
          <w:u w:val="single" w:color="FFFFFF" w:themeColor="background1"/>
        </w:rPr>
        <w:br w:type="page"/>
      </w:r>
    </w:p>
    <w:p w:rsidR="008738CC" w:rsidRPr="008738CC" w:rsidRDefault="008738CC" w:rsidP="008738CC">
      <w:pPr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</w:p>
    <w:p w:rsidR="001B2C86" w:rsidRPr="008738CC" w:rsidRDefault="008738CC" w:rsidP="006510B5">
      <w:pPr>
        <w:numPr>
          <w:ilvl w:val="0"/>
          <w:numId w:val="5"/>
        </w:numPr>
        <w:tabs>
          <w:tab w:val="num" w:pos="644"/>
        </w:tabs>
        <w:spacing w:after="200" w:line="276" w:lineRule="auto"/>
        <w:ind w:left="721"/>
        <w:jc w:val="both"/>
        <w:rPr>
          <w:rFonts w:ascii="Verdana" w:hAnsi="Verdana" w:cstheme="minorHAnsi"/>
        </w:rPr>
      </w:pPr>
      <w:r w:rsidRPr="008738CC">
        <w:rPr>
          <w:rFonts w:ascii="Verdana" w:hAnsi="Verdana"/>
        </w:rPr>
        <w:t xml:space="preserve">En </w:t>
      </w:r>
      <w:r w:rsidRPr="008738CC">
        <w:rPr>
          <w:rFonts w:ascii="Verdana" w:hAnsi="Verdana"/>
          <w:b/>
          <w:u w:val="single"/>
        </w:rPr>
        <w:t>Fuentes de Financiamiento:</w:t>
      </w:r>
      <w:r w:rsidR="003722E0" w:rsidRPr="008738CC">
        <w:rPr>
          <w:rFonts w:ascii="Verdana" w:hAnsi="Verdana"/>
          <w:b/>
        </w:rPr>
        <w:t xml:space="preserve"> </w:t>
      </w:r>
      <w:r w:rsidR="00471789" w:rsidRPr="008738CC">
        <w:rPr>
          <w:rFonts w:ascii="Verdana" w:hAnsi="Verdana" w:cstheme="minorHAnsi"/>
        </w:rPr>
        <w:t>Con respecto al monto de $</w:t>
      </w:r>
      <w:r w:rsidR="001B2C86" w:rsidRPr="008738CC">
        <w:rPr>
          <w:rFonts w:ascii="Verdana" w:hAnsi="Verdana" w:cstheme="minorHAnsi"/>
        </w:rPr>
        <w:t>970.732.756,80</w:t>
      </w:r>
      <w:r w:rsidR="00407F95">
        <w:rPr>
          <w:rFonts w:ascii="Verdana" w:hAnsi="Verdana" w:cstheme="minorHAnsi"/>
        </w:rPr>
        <w:t xml:space="preserve"> (</w:t>
      </w:r>
      <w:r w:rsidR="00471789" w:rsidRPr="008738CC">
        <w:rPr>
          <w:rFonts w:ascii="Verdana" w:hAnsi="Verdana" w:cstheme="minorHAnsi"/>
        </w:rPr>
        <w:t xml:space="preserve">que </w:t>
      </w:r>
      <w:r w:rsidR="00407F95">
        <w:rPr>
          <w:rFonts w:ascii="Verdana" w:hAnsi="Verdana" w:cstheme="minorHAnsi"/>
        </w:rPr>
        <w:t>figura</w:t>
      </w:r>
      <w:r w:rsidR="00471789" w:rsidRPr="008738CC">
        <w:rPr>
          <w:rFonts w:ascii="Verdana" w:hAnsi="Verdana" w:cstheme="minorHAnsi"/>
        </w:rPr>
        <w:t xml:space="preserve"> como </w:t>
      </w:r>
      <w:r w:rsidR="001B2C86" w:rsidRPr="008738CC">
        <w:rPr>
          <w:rFonts w:ascii="Verdana" w:hAnsi="Verdana" w:cstheme="minorHAnsi"/>
        </w:rPr>
        <w:t>positivo</w:t>
      </w:r>
      <w:r w:rsidR="00407F95">
        <w:rPr>
          <w:rFonts w:ascii="Verdana" w:hAnsi="Verdana" w:cstheme="minorHAnsi"/>
        </w:rPr>
        <w:t>)</w:t>
      </w:r>
      <w:r w:rsidR="00471789" w:rsidRPr="008738CC">
        <w:rPr>
          <w:rFonts w:ascii="Verdana" w:hAnsi="Verdana" w:cstheme="minorHAnsi"/>
        </w:rPr>
        <w:t>, se encuentra explicado</w:t>
      </w:r>
      <w:r w:rsidR="001B2C86" w:rsidRPr="008738CC">
        <w:rPr>
          <w:rFonts w:ascii="Verdana" w:hAnsi="Verdana" w:cstheme="minorHAnsi"/>
        </w:rPr>
        <w:t>:</w:t>
      </w:r>
      <w:r w:rsidR="00471789" w:rsidRPr="008738CC">
        <w:rPr>
          <w:rFonts w:ascii="Verdana" w:hAnsi="Verdana" w:cstheme="minorHAnsi"/>
        </w:rPr>
        <w:t xml:space="preserve"> </w:t>
      </w:r>
      <w:r w:rsidR="001B2C86" w:rsidRPr="008738CC">
        <w:rPr>
          <w:rFonts w:ascii="Verdana" w:hAnsi="Verdana" w:cstheme="minorHAnsi"/>
        </w:rPr>
        <w:t xml:space="preserve">1)El monto </w:t>
      </w:r>
      <w:r w:rsidR="001B2C86" w:rsidRPr="008738CC">
        <w:rPr>
          <w:rFonts w:ascii="Verdana" w:hAnsi="Verdana" w:cstheme="minorHAnsi"/>
          <w:b/>
        </w:rPr>
        <w:t>ejecutado que asciende a la suma de $877.058.065,61</w:t>
      </w:r>
      <w:r w:rsidR="001B2C86" w:rsidRPr="008738CC">
        <w:rPr>
          <w:rFonts w:ascii="Verdana" w:hAnsi="Verdana" w:cstheme="minorHAnsi"/>
        </w:rPr>
        <w:t xml:space="preserve"> </w:t>
      </w:r>
      <w:r w:rsidR="001B2C86" w:rsidRPr="008738CC">
        <w:rPr>
          <w:rFonts w:ascii="Verdana" w:hAnsi="Verdana" w:cstheme="minorHAnsi"/>
          <w:b/>
        </w:rPr>
        <w:t>en la</w:t>
      </w:r>
      <w:r w:rsidR="001B2C86" w:rsidRPr="008738CC">
        <w:rPr>
          <w:rFonts w:ascii="Verdana" w:hAnsi="Verdana" w:cstheme="minorHAnsi"/>
        </w:rPr>
        <w:t xml:space="preserve"> </w:t>
      </w:r>
      <w:r w:rsidR="001B2C86" w:rsidRPr="008738CC">
        <w:rPr>
          <w:rFonts w:ascii="Verdana" w:hAnsi="Verdana" w:cstheme="minorHAnsi"/>
          <w:b/>
        </w:rPr>
        <w:t>cuenta Nº 7120112392</w:t>
      </w:r>
      <w:r w:rsidR="001B2C86" w:rsidRPr="008738CC">
        <w:rPr>
          <w:rFonts w:ascii="Verdana" w:hAnsi="Verdana" w:cstheme="minorHAnsi"/>
        </w:rPr>
        <w:t>, corresponde a los gastos descontados al momento de la emisión</w:t>
      </w:r>
      <w:r w:rsidR="00407F95">
        <w:rPr>
          <w:rFonts w:ascii="Verdana" w:hAnsi="Verdana" w:cstheme="minorHAnsi"/>
        </w:rPr>
        <w:t xml:space="preserve"> de títulos</w:t>
      </w:r>
      <w:r w:rsidR="001B2C86" w:rsidRPr="008738CC">
        <w:rPr>
          <w:rFonts w:ascii="Verdana" w:hAnsi="Verdana" w:cstheme="minorHAnsi"/>
        </w:rPr>
        <w:t xml:space="preserve"> por un monto de $54.897.769,61 y a los intereses por colocación bajo la par por la suma de $822.160.296,00 (Orden de Pago Nº 91 - 020 - 2024), ambos conceptos fueron registrados contra dicha cuenta de uso del crédito, por la emisión de los Títulos de Deuda CER Clase 2, destinados a la Cancelación de los Servicios de Amortización de Deuda previstos en el presupuesto 2024.</w:t>
      </w:r>
      <w:r w:rsidR="00C605F7" w:rsidRPr="008738CC">
        <w:rPr>
          <w:rFonts w:ascii="Verdana" w:hAnsi="Verdana" w:cstheme="minorHAnsi"/>
        </w:rPr>
        <w:t xml:space="preserve"> 2) E</w:t>
      </w:r>
      <w:r w:rsidR="001B2C86" w:rsidRPr="008738CC">
        <w:rPr>
          <w:rFonts w:ascii="Verdana" w:hAnsi="Verdana" w:cstheme="minorHAnsi"/>
        </w:rPr>
        <w:t xml:space="preserve">l monto </w:t>
      </w:r>
      <w:r w:rsidR="001B2C86" w:rsidRPr="008738CC">
        <w:rPr>
          <w:rFonts w:ascii="Verdana" w:hAnsi="Verdana" w:cstheme="minorHAnsi"/>
          <w:b/>
        </w:rPr>
        <w:t xml:space="preserve">ejecutado que asciende a la suma de </w:t>
      </w:r>
      <w:r w:rsidR="00C605F7" w:rsidRPr="008738CC">
        <w:rPr>
          <w:rFonts w:ascii="Verdana" w:hAnsi="Verdana" w:cstheme="minorHAnsi"/>
          <w:b/>
        </w:rPr>
        <w:t>$</w:t>
      </w:r>
      <w:r w:rsidR="001B2C86" w:rsidRPr="008738CC">
        <w:rPr>
          <w:rFonts w:ascii="Verdana" w:hAnsi="Verdana" w:cstheme="minorHAnsi"/>
          <w:b/>
        </w:rPr>
        <w:t>93.674.691,19 en la cuenta Nº 7130110392</w:t>
      </w:r>
      <w:r w:rsidR="001B2C86" w:rsidRPr="008738CC">
        <w:rPr>
          <w:rFonts w:ascii="Verdana" w:hAnsi="Verdana" w:cstheme="minorHAnsi"/>
        </w:rPr>
        <w:t>, corresponde a los gastos descontados al momento de la emisión de los Títulos de Deuda CER Clase 1, destinados a la Cancelación de los Servicios de Amortización de Deuda previstos en el presupuesto 2024.</w:t>
      </w:r>
    </w:p>
    <w:p w:rsidR="00471789" w:rsidRPr="00A21A97" w:rsidRDefault="00407F95" w:rsidP="00C605F7">
      <w:pPr>
        <w:pStyle w:val="Prrafodelista"/>
        <w:spacing w:after="200" w:line="360" w:lineRule="auto"/>
        <w:ind w:left="794"/>
        <w:jc w:val="both"/>
        <w:rPr>
          <w:rFonts w:ascii="Verdana" w:hAnsi="Verdana"/>
        </w:rPr>
      </w:pPr>
      <w:r>
        <w:rPr>
          <w:rFonts w:ascii="Verdana" w:hAnsi="Verdana"/>
        </w:rPr>
        <w:t>Lo detallado en el presente punto, corresponde a la i</w:t>
      </w:r>
      <w:r w:rsidR="00471789" w:rsidRPr="00A21A97">
        <w:rPr>
          <w:rFonts w:ascii="Verdana" w:hAnsi="Verdana"/>
        </w:rPr>
        <w:t xml:space="preserve">nformación del CUC 020 suministrada por la </w:t>
      </w:r>
      <w:r w:rsidR="00471789" w:rsidRPr="00A21A97">
        <w:rPr>
          <w:rFonts w:ascii="Verdana" w:hAnsi="Verdana"/>
          <w:color w:val="000000"/>
        </w:rPr>
        <w:t xml:space="preserve">Dirección  </w:t>
      </w:r>
      <w:r w:rsidR="00C605F7">
        <w:rPr>
          <w:rFonts w:ascii="Verdana" w:hAnsi="Verdana"/>
          <w:color w:val="000000"/>
        </w:rPr>
        <w:t xml:space="preserve"> </w:t>
      </w:r>
      <w:r w:rsidR="00471789" w:rsidRPr="00A21A97">
        <w:rPr>
          <w:rFonts w:ascii="Verdana" w:hAnsi="Verdana"/>
          <w:color w:val="000000"/>
        </w:rPr>
        <w:t>General de Crédito al Sector Público.</w:t>
      </w:r>
    </w:p>
    <w:p w:rsidR="00B91640" w:rsidRPr="00B91640" w:rsidRDefault="00B33656" w:rsidP="0082590D">
      <w:pPr>
        <w:pStyle w:val="Prrafodelista"/>
        <w:numPr>
          <w:ilvl w:val="0"/>
          <w:numId w:val="5"/>
        </w:numPr>
        <w:tabs>
          <w:tab w:val="num" w:pos="644"/>
        </w:tabs>
        <w:spacing w:after="200" w:line="276" w:lineRule="auto"/>
        <w:ind w:left="721"/>
        <w:jc w:val="both"/>
        <w:rPr>
          <w:rFonts w:ascii="Verdana" w:hAnsi="Verdana" w:cstheme="minorHAnsi"/>
          <w:color w:val="FF0000"/>
        </w:rPr>
      </w:pPr>
      <w:r w:rsidRPr="00B91640">
        <w:rPr>
          <w:rFonts w:ascii="Verdana" w:hAnsi="Verdana"/>
          <w:color w:val="000000"/>
        </w:rPr>
        <w:t xml:space="preserve">En las </w:t>
      </w:r>
      <w:r w:rsidRPr="00B91640">
        <w:rPr>
          <w:rFonts w:ascii="Verdana" w:hAnsi="Verdana"/>
          <w:b/>
          <w:color w:val="000000"/>
          <w:u w:val="single"/>
        </w:rPr>
        <w:t>Aplicaciones Financieras:</w:t>
      </w:r>
      <w:r w:rsidR="00480DD0">
        <w:rPr>
          <w:rFonts w:ascii="Verdana" w:hAnsi="Verdana"/>
          <w:color w:val="000000"/>
        </w:rPr>
        <w:t xml:space="preserve"> </w:t>
      </w:r>
      <w:bookmarkStart w:id="0" w:name="_GoBack"/>
      <w:bookmarkEnd w:id="0"/>
      <w:r w:rsidRPr="00B91640">
        <w:rPr>
          <w:rFonts w:ascii="Verdana" w:hAnsi="Verdana"/>
          <w:color w:val="000000"/>
        </w:rPr>
        <w:t xml:space="preserve">Se observa </w:t>
      </w:r>
      <w:r w:rsidR="00A63129" w:rsidRPr="00B91640">
        <w:rPr>
          <w:rFonts w:ascii="Verdana" w:hAnsi="Verdana"/>
          <w:color w:val="000000"/>
        </w:rPr>
        <w:t xml:space="preserve">que </w:t>
      </w:r>
      <w:r w:rsidR="00CB5723" w:rsidRPr="00B91640">
        <w:rPr>
          <w:rFonts w:ascii="Verdana" w:hAnsi="Verdana"/>
          <w:color w:val="000000"/>
        </w:rPr>
        <w:t xml:space="preserve">el </w:t>
      </w:r>
      <w:r w:rsidRPr="00B91640">
        <w:rPr>
          <w:rFonts w:ascii="Verdana" w:hAnsi="Verdana"/>
          <w:color w:val="000000"/>
        </w:rPr>
        <w:t xml:space="preserve"> devengado</w:t>
      </w:r>
      <w:r w:rsidR="004B3C27" w:rsidRPr="00B91640">
        <w:rPr>
          <w:rFonts w:ascii="Verdana" w:hAnsi="Verdana"/>
          <w:color w:val="000000"/>
        </w:rPr>
        <w:t xml:space="preserve"> corresponde a </w:t>
      </w:r>
      <w:r w:rsidRPr="00B91640">
        <w:rPr>
          <w:rFonts w:ascii="Verdana" w:hAnsi="Verdana"/>
          <w:color w:val="000000"/>
        </w:rPr>
        <w:t>la deuda flotante</w:t>
      </w:r>
      <w:r w:rsidR="004B3C27" w:rsidRPr="00B91640">
        <w:rPr>
          <w:rFonts w:ascii="Verdana" w:hAnsi="Verdana"/>
          <w:color w:val="000000"/>
        </w:rPr>
        <w:t xml:space="preserve"> del </w:t>
      </w:r>
      <w:r w:rsidRPr="00B91640">
        <w:rPr>
          <w:rFonts w:ascii="Verdana" w:hAnsi="Verdana"/>
          <w:color w:val="000000"/>
        </w:rPr>
        <w:t xml:space="preserve">Ejercicio </w:t>
      </w:r>
      <w:r w:rsidR="00CB5723" w:rsidRPr="00B91640">
        <w:rPr>
          <w:rFonts w:ascii="Verdana" w:hAnsi="Verdana"/>
          <w:color w:val="000000"/>
        </w:rPr>
        <w:t>202</w:t>
      </w:r>
      <w:r w:rsidR="00AD606C" w:rsidRPr="00B91640">
        <w:rPr>
          <w:rFonts w:ascii="Verdana" w:hAnsi="Verdana"/>
          <w:color w:val="000000"/>
        </w:rPr>
        <w:t>3</w:t>
      </w:r>
      <w:r w:rsidR="00CB5723" w:rsidRPr="00B91640">
        <w:rPr>
          <w:rFonts w:ascii="Verdana" w:hAnsi="Verdana"/>
          <w:color w:val="000000"/>
        </w:rPr>
        <w:t xml:space="preserve"> </w:t>
      </w:r>
      <w:r w:rsidRPr="00B91640">
        <w:rPr>
          <w:rFonts w:ascii="Verdana" w:hAnsi="Verdana"/>
          <w:color w:val="000000"/>
        </w:rPr>
        <w:t xml:space="preserve">de la partida </w:t>
      </w:r>
      <w:r w:rsidR="00AD606C" w:rsidRPr="00B91640">
        <w:rPr>
          <w:rFonts w:ascii="Verdana" w:hAnsi="Verdana"/>
          <w:color w:val="000000"/>
        </w:rPr>
        <w:t>Amortización de Deuda Residuos Pasivos c/OP (74102) por un monto de $</w:t>
      </w:r>
      <w:r w:rsidR="00C605F7">
        <w:rPr>
          <w:rFonts w:ascii="Verdana" w:hAnsi="Verdana"/>
          <w:color w:val="000000"/>
        </w:rPr>
        <w:t>6.892.227.863,21</w:t>
      </w:r>
      <w:r w:rsidR="00AD606C" w:rsidRPr="00B91640">
        <w:rPr>
          <w:rFonts w:ascii="Verdana" w:hAnsi="Verdana"/>
          <w:color w:val="000000"/>
        </w:rPr>
        <w:t xml:space="preserve"> (pesos </w:t>
      </w:r>
      <w:r w:rsidR="00C605F7">
        <w:rPr>
          <w:rFonts w:ascii="Verdana" w:hAnsi="Verdana"/>
          <w:color w:val="000000"/>
        </w:rPr>
        <w:t>seis</w:t>
      </w:r>
      <w:r w:rsidR="00AD606C" w:rsidRPr="00B91640">
        <w:rPr>
          <w:rFonts w:ascii="Verdana" w:hAnsi="Verdana"/>
          <w:color w:val="000000"/>
        </w:rPr>
        <w:t xml:space="preserve"> mil </w:t>
      </w:r>
      <w:r w:rsidR="00C605F7">
        <w:rPr>
          <w:rFonts w:ascii="Verdana" w:hAnsi="Verdana"/>
          <w:color w:val="000000"/>
        </w:rPr>
        <w:t>ochocientos noventa y dos</w:t>
      </w:r>
      <w:r w:rsidR="00AD606C" w:rsidRPr="00B91640">
        <w:rPr>
          <w:rFonts w:ascii="Verdana" w:hAnsi="Verdana"/>
          <w:color w:val="000000"/>
        </w:rPr>
        <w:t xml:space="preserve"> millones </w:t>
      </w:r>
      <w:r w:rsidR="00C605F7">
        <w:rPr>
          <w:rFonts w:ascii="Verdana" w:hAnsi="Verdana"/>
          <w:color w:val="000000"/>
        </w:rPr>
        <w:t>doscientos veintisiete</w:t>
      </w:r>
      <w:r w:rsidR="00AD606C" w:rsidRPr="00B91640">
        <w:rPr>
          <w:rFonts w:ascii="Verdana" w:hAnsi="Verdana"/>
          <w:color w:val="000000"/>
        </w:rPr>
        <w:t xml:space="preserve"> mil </w:t>
      </w:r>
      <w:r w:rsidR="00C605F7">
        <w:rPr>
          <w:rFonts w:ascii="Verdana" w:hAnsi="Verdana"/>
          <w:color w:val="000000"/>
        </w:rPr>
        <w:t>ochocientos sesenta y tres</w:t>
      </w:r>
      <w:r w:rsidR="00497749" w:rsidRPr="00B91640">
        <w:rPr>
          <w:rFonts w:ascii="Verdana" w:hAnsi="Verdana"/>
          <w:color w:val="000000"/>
        </w:rPr>
        <w:t xml:space="preserve"> con </w:t>
      </w:r>
      <w:r w:rsidR="00C605F7">
        <w:rPr>
          <w:rFonts w:ascii="Verdana" w:hAnsi="Verdana"/>
          <w:color w:val="000000"/>
        </w:rPr>
        <w:t>21</w:t>
      </w:r>
      <w:r w:rsidR="00497749" w:rsidRPr="00B91640">
        <w:rPr>
          <w:rFonts w:ascii="Verdana" w:hAnsi="Verdana"/>
          <w:color w:val="000000"/>
        </w:rPr>
        <w:t xml:space="preserve">/100), correspondiendo a </w:t>
      </w:r>
      <w:r w:rsidR="00AD606C" w:rsidRPr="00B91640">
        <w:rPr>
          <w:rFonts w:ascii="Verdana" w:hAnsi="Verdana"/>
          <w:color w:val="000000"/>
        </w:rPr>
        <w:t>conceptos no programados</w:t>
      </w:r>
      <w:r w:rsidR="00497749" w:rsidRPr="00B91640">
        <w:rPr>
          <w:rFonts w:ascii="Verdana" w:hAnsi="Verdana"/>
          <w:color w:val="000000"/>
        </w:rPr>
        <w:t xml:space="preserve"> para el Ejercicio 2024</w:t>
      </w:r>
      <w:r w:rsidR="00AD606C" w:rsidRPr="00B91640">
        <w:rPr>
          <w:rFonts w:ascii="Verdana" w:hAnsi="Verdana"/>
          <w:color w:val="000000"/>
        </w:rPr>
        <w:t>.</w:t>
      </w:r>
    </w:p>
    <w:p w:rsidR="00367849" w:rsidRDefault="008738CC" w:rsidP="00367849">
      <w:pPr>
        <w:pStyle w:val="Prrafodelista"/>
        <w:spacing w:after="200" w:line="276" w:lineRule="auto"/>
        <w:ind w:left="721"/>
        <w:jc w:val="both"/>
        <w:rPr>
          <w:rFonts w:ascii="Verdana" w:hAnsi="Verdana" w:cstheme="minorHAnsi"/>
          <w:color w:val="FF0000"/>
        </w:rPr>
      </w:pPr>
      <w:r>
        <w:rPr>
          <w:rFonts w:ascii="Verdana" w:hAnsi="Verdana" w:cstheme="minorHAnsi"/>
        </w:rPr>
        <w:t>En relación</w:t>
      </w:r>
      <w:r w:rsidRPr="001707B9">
        <w:rPr>
          <w:rFonts w:ascii="Verdana" w:hAnsi="Verdana" w:cstheme="minorHAnsi"/>
        </w:rPr>
        <w:t xml:space="preserve"> con </w:t>
      </w:r>
      <w:r>
        <w:rPr>
          <w:rFonts w:ascii="Verdana" w:hAnsi="Verdana" w:cstheme="minorHAnsi"/>
        </w:rPr>
        <w:t xml:space="preserve">la </w:t>
      </w:r>
      <w:r w:rsidRPr="001707B9">
        <w:rPr>
          <w:rFonts w:ascii="Verdana" w:hAnsi="Verdana" w:cstheme="minorHAnsi"/>
        </w:rPr>
        <w:t>Amortización de Capital por otras deudas (amortización de la deuda consolidada 72103) en este trimestre se ejecutó en mayor medida, debido principalmente, a la registración presupuestaria de los servicios de amortización del Título 2024 para Inversión en Infraestructura Pública que se ajusta por índice CER,</w:t>
      </w:r>
      <w:r>
        <w:rPr>
          <w:rFonts w:ascii="Verdana" w:hAnsi="Verdana" w:cstheme="minorHAnsi"/>
        </w:rPr>
        <w:t xml:space="preserve"> a una emisión adicional</w:t>
      </w:r>
      <w:r w:rsidRPr="001707B9">
        <w:rPr>
          <w:rFonts w:ascii="Verdana" w:hAnsi="Verdana" w:cstheme="minorHAnsi"/>
        </w:rPr>
        <w:t xml:space="preserve"> del Título de Deuda SVS </w:t>
      </w:r>
      <w:proofErr w:type="spellStart"/>
      <w:r w:rsidRPr="001707B9">
        <w:rPr>
          <w:rFonts w:ascii="Verdana" w:hAnsi="Verdana" w:cstheme="minorHAnsi"/>
        </w:rPr>
        <w:t>Metrotranvía</w:t>
      </w:r>
      <w:proofErr w:type="spellEnd"/>
      <w:r w:rsidRPr="001707B9">
        <w:rPr>
          <w:rFonts w:ascii="Verdana" w:hAnsi="Verdana" w:cstheme="minorHAnsi"/>
        </w:rPr>
        <w:t xml:space="preserve"> Mendoza y de los préstamos con el FFFIR que se ajustan por índice ICC. </w:t>
      </w:r>
      <w:r>
        <w:rPr>
          <w:rFonts w:ascii="Verdana" w:hAnsi="Verdana" w:cstheme="minorHAnsi"/>
        </w:rPr>
        <w:t>Los aludidos indicadores evolucionaron de forma diferente a la proyectada al presentar las metas</w:t>
      </w:r>
      <w:r w:rsidR="00B91640" w:rsidRPr="00B91640">
        <w:rPr>
          <w:rFonts w:ascii="Verdana" w:hAnsi="Verdana" w:cstheme="minorHAnsi"/>
        </w:rPr>
        <w:t>.</w:t>
      </w:r>
      <w:r w:rsidR="00B91640" w:rsidRPr="00B91640">
        <w:rPr>
          <w:rFonts w:ascii="Verdana" w:hAnsi="Verdana" w:cstheme="minorHAnsi"/>
          <w:color w:val="FF0000"/>
        </w:rPr>
        <w:t xml:space="preserve"> </w:t>
      </w:r>
      <w:r w:rsidR="00367849" w:rsidRPr="00AF7A04">
        <w:rPr>
          <w:rFonts w:ascii="Verdana" w:hAnsi="Verdana"/>
        </w:rPr>
        <w:t xml:space="preserve">Información que surge del CUC 020 suministrada por la </w:t>
      </w:r>
      <w:r w:rsidR="00367849" w:rsidRPr="00AF7A04">
        <w:rPr>
          <w:rFonts w:ascii="Verdana" w:hAnsi="Verdana"/>
          <w:color w:val="000000"/>
        </w:rPr>
        <w:t>Dirección  General de Crédito al Sector Público.</w:t>
      </w:r>
    </w:p>
    <w:sectPr w:rsidR="00367849" w:rsidSect="00736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17C" w:rsidRDefault="000D417C" w:rsidP="00022F60">
      <w:r>
        <w:separator/>
      </w:r>
    </w:p>
  </w:endnote>
  <w:endnote w:type="continuationSeparator" w:id="0">
    <w:p w:rsidR="000D417C" w:rsidRDefault="000D417C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auto"/>
    <w:pitch w:val="variable"/>
    <w:sig w:usb0="00000001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17C" w:rsidRDefault="000D417C" w:rsidP="00022F60">
      <w:r>
        <w:separator/>
      </w:r>
    </w:p>
  </w:footnote>
  <w:footnote w:type="continuationSeparator" w:id="0">
    <w:p w:rsidR="000D417C" w:rsidRDefault="000D417C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Pr="00FB22AC" w:rsidRDefault="009C3D0F" w:rsidP="009C3D0F">
    <w:pPr>
      <w:pStyle w:val="Encabezado"/>
      <w:rPr>
        <w:rFonts w:ascii="Lato" w:hAnsi="Lato"/>
        <w:b/>
        <w:bCs/>
        <w:color w:val="000F9F"/>
      </w:rPr>
    </w:pPr>
    <w:r w:rsidRPr="00FB22AC">
      <w:rPr>
        <w:rFonts w:ascii="Lato" w:hAnsi="Lato"/>
        <w:b/>
        <w:bCs/>
        <w:noProof/>
        <w:color w:val="000F9F"/>
        <w:lang w:val="es-AR" w:eastAsia="es-AR"/>
      </w:rPr>
      <w:drawing>
        <wp:anchor distT="0" distB="0" distL="114300" distR="114300" simplePos="0" relativeHeight="251659264" behindDoc="0" locked="0" layoutInCell="1" allowOverlap="1" wp14:anchorId="2E73ACA3" wp14:editId="26B2BDD0">
          <wp:simplePos x="0" y="0"/>
          <wp:positionH relativeFrom="margin">
            <wp:align>right</wp:align>
          </wp:positionH>
          <wp:positionV relativeFrom="paragraph">
            <wp:posOffset>-1095375</wp:posOffset>
          </wp:positionV>
          <wp:extent cx="760095" cy="1276350"/>
          <wp:effectExtent l="0" t="0" r="1905" b="0"/>
          <wp:wrapSquare wrapText="bothSides"/>
          <wp:docPr id="19" name="Gráfico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9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Lato" w:hAnsi="Lato"/>
        <w:b/>
        <w:bCs/>
        <w:color w:val="000F9F"/>
      </w:rPr>
      <w:t>MINISTERIO DE HACIENDA Y FINANZAS</w:t>
    </w:r>
  </w:p>
  <w:p w:rsidR="009C3D0F" w:rsidRPr="00FB22AC" w:rsidRDefault="009C3D0F" w:rsidP="009C3D0F">
    <w:pPr>
      <w:pStyle w:val="Encabezado"/>
      <w:rPr>
        <w:color w:val="000F9F"/>
      </w:rPr>
    </w:pPr>
    <w:r>
      <w:rPr>
        <w:rFonts w:ascii="Lato" w:hAnsi="Lato"/>
        <w:b/>
        <w:bCs/>
        <w:color w:val="000F9F"/>
      </w:rPr>
      <w:t>DIRECCION GENERAL DE ADMINISTRACION</w:t>
    </w:r>
  </w:p>
  <w:p w:rsidR="009C3D0F" w:rsidRPr="00FB22AC" w:rsidRDefault="009C3D0F" w:rsidP="009C3D0F">
    <w:pPr>
      <w:pStyle w:val="Encabezado"/>
      <w:rPr>
        <w:rFonts w:ascii="Lato" w:hAnsi="Lato"/>
      </w:rPr>
    </w:pPr>
    <w:r w:rsidRPr="00FB22AC">
      <w:rPr>
        <w:rFonts w:ascii="Lato" w:hAnsi="Lato"/>
      </w:rPr>
      <w:t>S</w:t>
    </w:r>
    <w:r>
      <w:rPr>
        <w:rFonts w:ascii="Lato" w:hAnsi="Lato"/>
      </w:rPr>
      <w:t>UBDIRECCION DE SERVICIOS ADMINISTRATIVOS</w:t>
    </w:r>
  </w:p>
  <w:p w:rsidR="008C1D33" w:rsidRPr="009C3D0F" w:rsidRDefault="008C1D33" w:rsidP="009C3D0F">
    <w:pPr>
      <w:pStyle w:val="Encabezado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9516273"/>
    <w:multiLevelType w:val="hybridMultilevel"/>
    <w:tmpl w:val="2D740B30"/>
    <w:lvl w:ilvl="0" w:tplc="62026DB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D179BC"/>
    <w:multiLevelType w:val="hybridMultilevel"/>
    <w:tmpl w:val="55948576"/>
    <w:lvl w:ilvl="0" w:tplc="77E030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7C"/>
    <w:rsid w:val="000028CF"/>
    <w:rsid w:val="00002F75"/>
    <w:rsid w:val="0000370C"/>
    <w:rsid w:val="0000564B"/>
    <w:rsid w:val="0001062E"/>
    <w:rsid w:val="00014113"/>
    <w:rsid w:val="00015192"/>
    <w:rsid w:val="00022F60"/>
    <w:rsid w:val="00024C05"/>
    <w:rsid w:val="00025534"/>
    <w:rsid w:val="00030BCF"/>
    <w:rsid w:val="00034366"/>
    <w:rsid w:val="000350DB"/>
    <w:rsid w:val="0004208E"/>
    <w:rsid w:val="00053410"/>
    <w:rsid w:val="00054D98"/>
    <w:rsid w:val="00054EE2"/>
    <w:rsid w:val="00057AE5"/>
    <w:rsid w:val="000606CC"/>
    <w:rsid w:val="0006121F"/>
    <w:rsid w:val="00067998"/>
    <w:rsid w:val="00077734"/>
    <w:rsid w:val="00091097"/>
    <w:rsid w:val="00094A9C"/>
    <w:rsid w:val="000A011B"/>
    <w:rsid w:val="000A1E98"/>
    <w:rsid w:val="000A395B"/>
    <w:rsid w:val="000A44AC"/>
    <w:rsid w:val="000A68B5"/>
    <w:rsid w:val="000D1439"/>
    <w:rsid w:val="000D417C"/>
    <w:rsid w:val="000E0F7C"/>
    <w:rsid w:val="000E1067"/>
    <w:rsid w:val="000E1162"/>
    <w:rsid w:val="000E7665"/>
    <w:rsid w:val="000F78FA"/>
    <w:rsid w:val="00103D20"/>
    <w:rsid w:val="0011343D"/>
    <w:rsid w:val="001140D6"/>
    <w:rsid w:val="001147AB"/>
    <w:rsid w:val="00114ECA"/>
    <w:rsid w:val="00116727"/>
    <w:rsid w:val="0012022F"/>
    <w:rsid w:val="00122384"/>
    <w:rsid w:val="00123EBA"/>
    <w:rsid w:val="001334F9"/>
    <w:rsid w:val="00133C83"/>
    <w:rsid w:val="00134312"/>
    <w:rsid w:val="00136061"/>
    <w:rsid w:val="00136081"/>
    <w:rsid w:val="00140B32"/>
    <w:rsid w:val="00144B8B"/>
    <w:rsid w:val="0014635B"/>
    <w:rsid w:val="0015268E"/>
    <w:rsid w:val="0016446C"/>
    <w:rsid w:val="001649B4"/>
    <w:rsid w:val="00165DA0"/>
    <w:rsid w:val="00167EF9"/>
    <w:rsid w:val="0017014C"/>
    <w:rsid w:val="00174AA7"/>
    <w:rsid w:val="00175875"/>
    <w:rsid w:val="00175D29"/>
    <w:rsid w:val="001812E1"/>
    <w:rsid w:val="00181D95"/>
    <w:rsid w:val="00183AF2"/>
    <w:rsid w:val="00184129"/>
    <w:rsid w:val="00187B1E"/>
    <w:rsid w:val="001905EA"/>
    <w:rsid w:val="001929FB"/>
    <w:rsid w:val="001965E4"/>
    <w:rsid w:val="00196A55"/>
    <w:rsid w:val="0019724F"/>
    <w:rsid w:val="0019798D"/>
    <w:rsid w:val="001B2C86"/>
    <w:rsid w:val="001B2EF9"/>
    <w:rsid w:val="001B3409"/>
    <w:rsid w:val="001B579A"/>
    <w:rsid w:val="001D07CB"/>
    <w:rsid w:val="001E0BA7"/>
    <w:rsid w:val="001E0F2E"/>
    <w:rsid w:val="001F0814"/>
    <w:rsid w:val="001F0AA2"/>
    <w:rsid w:val="001F653A"/>
    <w:rsid w:val="001F695E"/>
    <w:rsid w:val="00200D19"/>
    <w:rsid w:val="00203F0A"/>
    <w:rsid w:val="0020522C"/>
    <w:rsid w:val="00206DEB"/>
    <w:rsid w:val="00213C92"/>
    <w:rsid w:val="00216C08"/>
    <w:rsid w:val="00221923"/>
    <w:rsid w:val="00224A30"/>
    <w:rsid w:val="002277AD"/>
    <w:rsid w:val="002313F3"/>
    <w:rsid w:val="00232370"/>
    <w:rsid w:val="0023314A"/>
    <w:rsid w:val="0023434C"/>
    <w:rsid w:val="00234920"/>
    <w:rsid w:val="00235AB1"/>
    <w:rsid w:val="0024444C"/>
    <w:rsid w:val="00244803"/>
    <w:rsid w:val="00244FDC"/>
    <w:rsid w:val="0025169C"/>
    <w:rsid w:val="002561CE"/>
    <w:rsid w:val="00263132"/>
    <w:rsid w:val="00267AF4"/>
    <w:rsid w:val="00270BB9"/>
    <w:rsid w:val="00270BCC"/>
    <w:rsid w:val="00271015"/>
    <w:rsid w:val="00272A3D"/>
    <w:rsid w:val="00272DE7"/>
    <w:rsid w:val="00273D22"/>
    <w:rsid w:val="002822D1"/>
    <w:rsid w:val="00282D6F"/>
    <w:rsid w:val="00291AA1"/>
    <w:rsid w:val="0029610D"/>
    <w:rsid w:val="002A7C2D"/>
    <w:rsid w:val="002C1B5C"/>
    <w:rsid w:val="002C21B3"/>
    <w:rsid w:val="002C5FB3"/>
    <w:rsid w:val="002D267D"/>
    <w:rsid w:val="002D32DD"/>
    <w:rsid w:val="002D7780"/>
    <w:rsid w:val="002F1816"/>
    <w:rsid w:val="00301FB6"/>
    <w:rsid w:val="00327D1E"/>
    <w:rsid w:val="00330D10"/>
    <w:rsid w:val="00334193"/>
    <w:rsid w:val="00337367"/>
    <w:rsid w:val="00341087"/>
    <w:rsid w:val="003439DD"/>
    <w:rsid w:val="00343DA3"/>
    <w:rsid w:val="00344DE9"/>
    <w:rsid w:val="00346CA3"/>
    <w:rsid w:val="00355D5B"/>
    <w:rsid w:val="00356351"/>
    <w:rsid w:val="00362339"/>
    <w:rsid w:val="003624D3"/>
    <w:rsid w:val="00365275"/>
    <w:rsid w:val="003655FD"/>
    <w:rsid w:val="003658E7"/>
    <w:rsid w:val="003662CB"/>
    <w:rsid w:val="00367849"/>
    <w:rsid w:val="003722E0"/>
    <w:rsid w:val="0037323C"/>
    <w:rsid w:val="00373E68"/>
    <w:rsid w:val="00383BB5"/>
    <w:rsid w:val="003879C9"/>
    <w:rsid w:val="00390683"/>
    <w:rsid w:val="00395FDE"/>
    <w:rsid w:val="003967A2"/>
    <w:rsid w:val="0039746C"/>
    <w:rsid w:val="003A4419"/>
    <w:rsid w:val="003A7D26"/>
    <w:rsid w:val="003B0116"/>
    <w:rsid w:val="003B1388"/>
    <w:rsid w:val="003B31EB"/>
    <w:rsid w:val="003B5F3E"/>
    <w:rsid w:val="003B653A"/>
    <w:rsid w:val="003C237D"/>
    <w:rsid w:val="003C71E2"/>
    <w:rsid w:val="003E531F"/>
    <w:rsid w:val="003F04AA"/>
    <w:rsid w:val="00400D4B"/>
    <w:rsid w:val="00401344"/>
    <w:rsid w:val="0040331B"/>
    <w:rsid w:val="00404ACD"/>
    <w:rsid w:val="004065C1"/>
    <w:rsid w:val="00406CF3"/>
    <w:rsid w:val="0040796A"/>
    <w:rsid w:val="00407F95"/>
    <w:rsid w:val="00411B56"/>
    <w:rsid w:val="00413433"/>
    <w:rsid w:val="004157D3"/>
    <w:rsid w:val="00416155"/>
    <w:rsid w:val="00416A8C"/>
    <w:rsid w:val="0042084D"/>
    <w:rsid w:val="00424043"/>
    <w:rsid w:val="0043204A"/>
    <w:rsid w:val="00434D94"/>
    <w:rsid w:val="00440DA3"/>
    <w:rsid w:val="004464A2"/>
    <w:rsid w:val="004509E8"/>
    <w:rsid w:val="00450B6E"/>
    <w:rsid w:val="0045422C"/>
    <w:rsid w:val="00462187"/>
    <w:rsid w:val="00465436"/>
    <w:rsid w:val="004663E8"/>
    <w:rsid w:val="00471789"/>
    <w:rsid w:val="004756B8"/>
    <w:rsid w:val="004768B6"/>
    <w:rsid w:val="00480DD0"/>
    <w:rsid w:val="00482D8E"/>
    <w:rsid w:val="00484B5F"/>
    <w:rsid w:val="004850ED"/>
    <w:rsid w:val="00487680"/>
    <w:rsid w:val="00493D56"/>
    <w:rsid w:val="00497051"/>
    <w:rsid w:val="00497749"/>
    <w:rsid w:val="004A13FD"/>
    <w:rsid w:val="004A1F87"/>
    <w:rsid w:val="004A5F8F"/>
    <w:rsid w:val="004A7A59"/>
    <w:rsid w:val="004B2957"/>
    <w:rsid w:val="004B3C27"/>
    <w:rsid w:val="004B711A"/>
    <w:rsid w:val="004C103B"/>
    <w:rsid w:val="004C208B"/>
    <w:rsid w:val="004C4999"/>
    <w:rsid w:val="004C5EB5"/>
    <w:rsid w:val="004D13BA"/>
    <w:rsid w:val="004D317C"/>
    <w:rsid w:val="004E2D44"/>
    <w:rsid w:val="004E5491"/>
    <w:rsid w:val="004F34B8"/>
    <w:rsid w:val="004F6021"/>
    <w:rsid w:val="005010BB"/>
    <w:rsid w:val="005044D4"/>
    <w:rsid w:val="0050675F"/>
    <w:rsid w:val="00506A25"/>
    <w:rsid w:val="00517899"/>
    <w:rsid w:val="0052698F"/>
    <w:rsid w:val="00527099"/>
    <w:rsid w:val="005320E7"/>
    <w:rsid w:val="005459DC"/>
    <w:rsid w:val="00550E7F"/>
    <w:rsid w:val="00551D87"/>
    <w:rsid w:val="00555C42"/>
    <w:rsid w:val="005718F6"/>
    <w:rsid w:val="005750E5"/>
    <w:rsid w:val="00575B96"/>
    <w:rsid w:val="005806CC"/>
    <w:rsid w:val="005911DB"/>
    <w:rsid w:val="00592920"/>
    <w:rsid w:val="00594D81"/>
    <w:rsid w:val="005A14FF"/>
    <w:rsid w:val="005A37E7"/>
    <w:rsid w:val="005A3F81"/>
    <w:rsid w:val="005A649B"/>
    <w:rsid w:val="005B073A"/>
    <w:rsid w:val="005B2F5B"/>
    <w:rsid w:val="005B3CAF"/>
    <w:rsid w:val="005B4060"/>
    <w:rsid w:val="005B7007"/>
    <w:rsid w:val="005C1812"/>
    <w:rsid w:val="005C27E7"/>
    <w:rsid w:val="005D0868"/>
    <w:rsid w:val="005D13DC"/>
    <w:rsid w:val="005D5978"/>
    <w:rsid w:val="005D73F5"/>
    <w:rsid w:val="005F01D3"/>
    <w:rsid w:val="005F07CF"/>
    <w:rsid w:val="005F290C"/>
    <w:rsid w:val="005F4CD1"/>
    <w:rsid w:val="005F6AF1"/>
    <w:rsid w:val="006060B7"/>
    <w:rsid w:val="00606D2B"/>
    <w:rsid w:val="00614107"/>
    <w:rsid w:val="00617939"/>
    <w:rsid w:val="00624603"/>
    <w:rsid w:val="0063456F"/>
    <w:rsid w:val="006349A0"/>
    <w:rsid w:val="00637C08"/>
    <w:rsid w:val="006411D9"/>
    <w:rsid w:val="00644D37"/>
    <w:rsid w:val="00646528"/>
    <w:rsid w:val="006479FA"/>
    <w:rsid w:val="006514DA"/>
    <w:rsid w:val="00653298"/>
    <w:rsid w:val="006667CC"/>
    <w:rsid w:val="00672234"/>
    <w:rsid w:val="00684447"/>
    <w:rsid w:val="00686067"/>
    <w:rsid w:val="00687771"/>
    <w:rsid w:val="00696D3F"/>
    <w:rsid w:val="006974B0"/>
    <w:rsid w:val="006A1427"/>
    <w:rsid w:val="006A32EE"/>
    <w:rsid w:val="006B26B4"/>
    <w:rsid w:val="006C1C68"/>
    <w:rsid w:val="006C26D2"/>
    <w:rsid w:val="006C2959"/>
    <w:rsid w:val="006C46EF"/>
    <w:rsid w:val="006D0ECF"/>
    <w:rsid w:val="006D5DE1"/>
    <w:rsid w:val="006E3768"/>
    <w:rsid w:val="006E487B"/>
    <w:rsid w:val="0070200A"/>
    <w:rsid w:val="007022FB"/>
    <w:rsid w:val="00713D6B"/>
    <w:rsid w:val="007151D1"/>
    <w:rsid w:val="007169C2"/>
    <w:rsid w:val="00730D26"/>
    <w:rsid w:val="0073187B"/>
    <w:rsid w:val="007350DF"/>
    <w:rsid w:val="007353D7"/>
    <w:rsid w:val="00736E31"/>
    <w:rsid w:val="00740F5F"/>
    <w:rsid w:val="00741CCC"/>
    <w:rsid w:val="00743FBD"/>
    <w:rsid w:val="00750A75"/>
    <w:rsid w:val="00750F59"/>
    <w:rsid w:val="00753821"/>
    <w:rsid w:val="00754575"/>
    <w:rsid w:val="007614CD"/>
    <w:rsid w:val="00762F9B"/>
    <w:rsid w:val="007668E9"/>
    <w:rsid w:val="00767593"/>
    <w:rsid w:val="00777095"/>
    <w:rsid w:val="00780B89"/>
    <w:rsid w:val="00786B68"/>
    <w:rsid w:val="00787663"/>
    <w:rsid w:val="00793E33"/>
    <w:rsid w:val="0079451A"/>
    <w:rsid w:val="007A206F"/>
    <w:rsid w:val="007A5E56"/>
    <w:rsid w:val="007B0820"/>
    <w:rsid w:val="007B1FD8"/>
    <w:rsid w:val="007B79B7"/>
    <w:rsid w:val="007C1B5C"/>
    <w:rsid w:val="007C313B"/>
    <w:rsid w:val="007C514F"/>
    <w:rsid w:val="007C72E0"/>
    <w:rsid w:val="007D6482"/>
    <w:rsid w:val="007E123C"/>
    <w:rsid w:val="007E3865"/>
    <w:rsid w:val="007E548B"/>
    <w:rsid w:val="007F6962"/>
    <w:rsid w:val="008119B5"/>
    <w:rsid w:val="0081452C"/>
    <w:rsid w:val="00814544"/>
    <w:rsid w:val="00815463"/>
    <w:rsid w:val="008220DF"/>
    <w:rsid w:val="00826413"/>
    <w:rsid w:val="00830FFE"/>
    <w:rsid w:val="008347A3"/>
    <w:rsid w:val="00837CCE"/>
    <w:rsid w:val="00847340"/>
    <w:rsid w:val="00851CF2"/>
    <w:rsid w:val="00853CFA"/>
    <w:rsid w:val="00855F26"/>
    <w:rsid w:val="00861F72"/>
    <w:rsid w:val="00872363"/>
    <w:rsid w:val="008738CC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8F3DFC"/>
    <w:rsid w:val="00913C7F"/>
    <w:rsid w:val="0091408D"/>
    <w:rsid w:val="0092174C"/>
    <w:rsid w:val="00934B0D"/>
    <w:rsid w:val="0093723B"/>
    <w:rsid w:val="00941797"/>
    <w:rsid w:val="00941FCC"/>
    <w:rsid w:val="00952403"/>
    <w:rsid w:val="0095349E"/>
    <w:rsid w:val="00960C62"/>
    <w:rsid w:val="009646D4"/>
    <w:rsid w:val="009704F7"/>
    <w:rsid w:val="00975BA3"/>
    <w:rsid w:val="0097737E"/>
    <w:rsid w:val="00980B1A"/>
    <w:rsid w:val="00982571"/>
    <w:rsid w:val="009856D3"/>
    <w:rsid w:val="00985FBB"/>
    <w:rsid w:val="009868FF"/>
    <w:rsid w:val="00990A3B"/>
    <w:rsid w:val="00991C17"/>
    <w:rsid w:val="009958DD"/>
    <w:rsid w:val="00997741"/>
    <w:rsid w:val="009B0AF0"/>
    <w:rsid w:val="009B3F26"/>
    <w:rsid w:val="009B5C06"/>
    <w:rsid w:val="009C3D0F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072C5"/>
    <w:rsid w:val="00A127C1"/>
    <w:rsid w:val="00A14E73"/>
    <w:rsid w:val="00A150DF"/>
    <w:rsid w:val="00A21A97"/>
    <w:rsid w:val="00A22D84"/>
    <w:rsid w:val="00A234A6"/>
    <w:rsid w:val="00A2651D"/>
    <w:rsid w:val="00A317EA"/>
    <w:rsid w:val="00A324DA"/>
    <w:rsid w:val="00A33012"/>
    <w:rsid w:val="00A33893"/>
    <w:rsid w:val="00A363C8"/>
    <w:rsid w:val="00A37DD5"/>
    <w:rsid w:val="00A42AFB"/>
    <w:rsid w:val="00A461FE"/>
    <w:rsid w:val="00A525B6"/>
    <w:rsid w:val="00A5346C"/>
    <w:rsid w:val="00A57B98"/>
    <w:rsid w:val="00A63129"/>
    <w:rsid w:val="00A66352"/>
    <w:rsid w:val="00A66E77"/>
    <w:rsid w:val="00A74375"/>
    <w:rsid w:val="00A81E65"/>
    <w:rsid w:val="00A87113"/>
    <w:rsid w:val="00A879A2"/>
    <w:rsid w:val="00AA0724"/>
    <w:rsid w:val="00AA1382"/>
    <w:rsid w:val="00AA420E"/>
    <w:rsid w:val="00AA78F7"/>
    <w:rsid w:val="00AB336F"/>
    <w:rsid w:val="00AB343F"/>
    <w:rsid w:val="00AB3F28"/>
    <w:rsid w:val="00AC562A"/>
    <w:rsid w:val="00AC5D75"/>
    <w:rsid w:val="00AC6054"/>
    <w:rsid w:val="00AC708E"/>
    <w:rsid w:val="00AD284A"/>
    <w:rsid w:val="00AD4114"/>
    <w:rsid w:val="00AD606C"/>
    <w:rsid w:val="00AD624D"/>
    <w:rsid w:val="00AE038F"/>
    <w:rsid w:val="00AE155D"/>
    <w:rsid w:val="00AF6330"/>
    <w:rsid w:val="00AF7A04"/>
    <w:rsid w:val="00B038CA"/>
    <w:rsid w:val="00B04C76"/>
    <w:rsid w:val="00B10CFF"/>
    <w:rsid w:val="00B14E55"/>
    <w:rsid w:val="00B2430F"/>
    <w:rsid w:val="00B25BFC"/>
    <w:rsid w:val="00B2641B"/>
    <w:rsid w:val="00B33631"/>
    <w:rsid w:val="00B33656"/>
    <w:rsid w:val="00B34767"/>
    <w:rsid w:val="00B40C4B"/>
    <w:rsid w:val="00B42ACF"/>
    <w:rsid w:val="00B432C8"/>
    <w:rsid w:val="00B434CF"/>
    <w:rsid w:val="00B4506C"/>
    <w:rsid w:val="00B545E1"/>
    <w:rsid w:val="00B603B7"/>
    <w:rsid w:val="00B675BD"/>
    <w:rsid w:val="00B70C4A"/>
    <w:rsid w:val="00B77015"/>
    <w:rsid w:val="00B77ADC"/>
    <w:rsid w:val="00B77E07"/>
    <w:rsid w:val="00B91640"/>
    <w:rsid w:val="00BA33E5"/>
    <w:rsid w:val="00BA6323"/>
    <w:rsid w:val="00BA74AB"/>
    <w:rsid w:val="00BB10FC"/>
    <w:rsid w:val="00BB211B"/>
    <w:rsid w:val="00BB3714"/>
    <w:rsid w:val="00BB77D8"/>
    <w:rsid w:val="00BC2362"/>
    <w:rsid w:val="00BC33B1"/>
    <w:rsid w:val="00BC3D29"/>
    <w:rsid w:val="00BC70C6"/>
    <w:rsid w:val="00BD216F"/>
    <w:rsid w:val="00BD4A29"/>
    <w:rsid w:val="00BD59CB"/>
    <w:rsid w:val="00BE0859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1D69"/>
    <w:rsid w:val="00C476F1"/>
    <w:rsid w:val="00C47E5E"/>
    <w:rsid w:val="00C504A3"/>
    <w:rsid w:val="00C571F6"/>
    <w:rsid w:val="00C605F7"/>
    <w:rsid w:val="00C61E67"/>
    <w:rsid w:val="00C63C30"/>
    <w:rsid w:val="00C63D66"/>
    <w:rsid w:val="00C661D8"/>
    <w:rsid w:val="00C67896"/>
    <w:rsid w:val="00C715E3"/>
    <w:rsid w:val="00C76620"/>
    <w:rsid w:val="00C76F2E"/>
    <w:rsid w:val="00C77351"/>
    <w:rsid w:val="00C77987"/>
    <w:rsid w:val="00C81901"/>
    <w:rsid w:val="00C83304"/>
    <w:rsid w:val="00C86F8A"/>
    <w:rsid w:val="00C87007"/>
    <w:rsid w:val="00C90484"/>
    <w:rsid w:val="00C90648"/>
    <w:rsid w:val="00C90B04"/>
    <w:rsid w:val="00C92C62"/>
    <w:rsid w:val="00CA2F22"/>
    <w:rsid w:val="00CA780E"/>
    <w:rsid w:val="00CB15CD"/>
    <w:rsid w:val="00CB15DA"/>
    <w:rsid w:val="00CB1F04"/>
    <w:rsid w:val="00CB5723"/>
    <w:rsid w:val="00CB6351"/>
    <w:rsid w:val="00CB7069"/>
    <w:rsid w:val="00CC03BC"/>
    <w:rsid w:val="00CC177C"/>
    <w:rsid w:val="00CC31A1"/>
    <w:rsid w:val="00CC335D"/>
    <w:rsid w:val="00CD0090"/>
    <w:rsid w:val="00CD3683"/>
    <w:rsid w:val="00CD5A75"/>
    <w:rsid w:val="00CE27B1"/>
    <w:rsid w:val="00CE6E55"/>
    <w:rsid w:val="00CF1486"/>
    <w:rsid w:val="00CF28CB"/>
    <w:rsid w:val="00CF35AB"/>
    <w:rsid w:val="00D00859"/>
    <w:rsid w:val="00D01F0F"/>
    <w:rsid w:val="00D067CF"/>
    <w:rsid w:val="00D07D73"/>
    <w:rsid w:val="00D1001A"/>
    <w:rsid w:val="00D121BC"/>
    <w:rsid w:val="00D126A6"/>
    <w:rsid w:val="00D13F5A"/>
    <w:rsid w:val="00D165E7"/>
    <w:rsid w:val="00D17DFF"/>
    <w:rsid w:val="00D23FB2"/>
    <w:rsid w:val="00D27A1A"/>
    <w:rsid w:val="00D30414"/>
    <w:rsid w:val="00D32F60"/>
    <w:rsid w:val="00D337A1"/>
    <w:rsid w:val="00D35F0C"/>
    <w:rsid w:val="00D36487"/>
    <w:rsid w:val="00D429AE"/>
    <w:rsid w:val="00D43372"/>
    <w:rsid w:val="00D50327"/>
    <w:rsid w:val="00D525DD"/>
    <w:rsid w:val="00D55840"/>
    <w:rsid w:val="00D56151"/>
    <w:rsid w:val="00D564F0"/>
    <w:rsid w:val="00D62F89"/>
    <w:rsid w:val="00D81586"/>
    <w:rsid w:val="00D81B7C"/>
    <w:rsid w:val="00D82335"/>
    <w:rsid w:val="00D82E7D"/>
    <w:rsid w:val="00D82E92"/>
    <w:rsid w:val="00D83284"/>
    <w:rsid w:val="00D904D7"/>
    <w:rsid w:val="00D9328C"/>
    <w:rsid w:val="00D934A4"/>
    <w:rsid w:val="00D96505"/>
    <w:rsid w:val="00DA165D"/>
    <w:rsid w:val="00DA758F"/>
    <w:rsid w:val="00DA7B8C"/>
    <w:rsid w:val="00DB6E3F"/>
    <w:rsid w:val="00DC4686"/>
    <w:rsid w:val="00DC56FB"/>
    <w:rsid w:val="00DC61B9"/>
    <w:rsid w:val="00DC7EDC"/>
    <w:rsid w:val="00DC7F90"/>
    <w:rsid w:val="00DD5A30"/>
    <w:rsid w:val="00DE3AC1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56A3"/>
    <w:rsid w:val="00E66548"/>
    <w:rsid w:val="00E72D40"/>
    <w:rsid w:val="00E72EB4"/>
    <w:rsid w:val="00E75FD5"/>
    <w:rsid w:val="00E923C1"/>
    <w:rsid w:val="00EA33A9"/>
    <w:rsid w:val="00EC238E"/>
    <w:rsid w:val="00EC4862"/>
    <w:rsid w:val="00ED186E"/>
    <w:rsid w:val="00ED716D"/>
    <w:rsid w:val="00EE5522"/>
    <w:rsid w:val="00EF2D50"/>
    <w:rsid w:val="00EF31BB"/>
    <w:rsid w:val="00F13D0C"/>
    <w:rsid w:val="00F13ED4"/>
    <w:rsid w:val="00F27FEB"/>
    <w:rsid w:val="00F315CB"/>
    <w:rsid w:val="00F31CAC"/>
    <w:rsid w:val="00F36053"/>
    <w:rsid w:val="00F432D4"/>
    <w:rsid w:val="00F443C0"/>
    <w:rsid w:val="00F47610"/>
    <w:rsid w:val="00F5570A"/>
    <w:rsid w:val="00F574A8"/>
    <w:rsid w:val="00F611E7"/>
    <w:rsid w:val="00F61A92"/>
    <w:rsid w:val="00F62D43"/>
    <w:rsid w:val="00F6321E"/>
    <w:rsid w:val="00F6460C"/>
    <w:rsid w:val="00F65C9F"/>
    <w:rsid w:val="00F7009A"/>
    <w:rsid w:val="00F762CA"/>
    <w:rsid w:val="00F76A24"/>
    <w:rsid w:val="00F91061"/>
    <w:rsid w:val="00F93451"/>
    <w:rsid w:val="00F96000"/>
    <w:rsid w:val="00FA0284"/>
    <w:rsid w:val="00FA699C"/>
    <w:rsid w:val="00FA6C64"/>
    <w:rsid w:val="00FA745A"/>
    <w:rsid w:val="00FB05F9"/>
    <w:rsid w:val="00FB2E49"/>
    <w:rsid w:val="00FB4207"/>
    <w:rsid w:val="00FB4509"/>
    <w:rsid w:val="00FB4F62"/>
    <w:rsid w:val="00FB7CA4"/>
    <w:rsid w:val="00FC4ECB"/>
    <w:rsid w:val="00FD7BCD"/>
    <w:rsid w:val="00FE5712"/>
    <w:rsid w:val="00FE5950"/>
    <w:rsid w:val="00FE6D61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AA45FD-5F5C-4AFD-9760-515D1C99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D14EC-222A-4EF7-9FDC-1FDFA63C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5460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EFuligna</cp:lastModifiedBy>
  <cp:revision>2</cp:revision>
  <cp:lastPrinted>2024-05-17T12:18:00Z</cp:lastPrinted>
  <dcterms:created xsi:type="dcterms:W3CDTF">2024-08-21T10:39:00Z</dcterms:created>
  <dcterms:modified xsi:type="dcterms:W3CDTF">2024-08-21T10:39:00Z</dcterms:modified>
</cp:coreProperties>
</file>