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b/>
          <w:highlight w:val="none"/>
          <w:lang w:val="es-MX"/>
        </w:rPr>
      </w:pPr>
      <w:r>
        <w:rPr>
          <w:b/>
          <w:highlight w:val="none"/>
          <w:lang w:val="es-MX"/>
        </w:rPr>
        <w:t>ACUERDO N° 3949</w:t>
      </w:r>
    </w:p>
    <w:p>
      <w:pPr>
        <w:rPr>
          <w:b/>
          <w:highlight w:val="none"/>
          <w:lang w:val="es-MX"/>
        </w:rPr>
      </w:pPr>
      <w:r>
        <w:rPr>
          <w:b/>
          <w:highlight w:val="none"/>
          <w:lang w:val="es-MX"/>
        </w:rPr>
        <w:t>ANEXO 30: ART. 5 Inc c)</w:t>
      </w:r>
    </w:p>
    <w:p>
      <w:pPr>
        <w:rPr>
          <w:b/>
          <w:highlight w:val="none"/>
          <w:lang w:val="es-MX"/>
        </w:rPr>
      </w:pPr>
      <w:r>
        <w:rPr>
          <w:i/>
          <w:iCs/>
          <w:highlight w:val="none"/>
        </w:rPr>
        <w:t>Causas de los incumplimientos de las metas, en caso de existir.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highlight w:val="none"/>
          <w:lang w:val="es-MX"/>
        </w:rPr>
      </w:pPr>
      <w:r>
        <w:rPr>
          <w:b/>
          <w:highlight w:val="none"/>
          <w:lang w:val="es-MX"/>
        </w:rPr>
        <w:t>Repartición/Organismo:   Ministerio Público Fiscal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highlight w:val="none"/>
          <w:lang w:val="es-MX"/>
        </w:rPr>
      </w:pPr>
      <w:r>
        <w:rPr>
          <w:b/>
          <w:highlight w:val="none"/>
          <w:lang w:val="es-MX"/>
        </w:rPr>
        <w:t>Nomenclador:    Carácter 01, Jurisdicción 02, UO 02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highlight w:val="none"/>
          <w:lang w:val="es-AR"/>
        </w:rPr>
      </w:pPr>
      <w:r>
        <w:rPr>
          <w:b/>
          <w:highlight w:val="none"/>
          <w:lang w:val="es-MX"/>
        </w:rPr>
        <w:t>Ejercicio:   2.0</w:t>
      </w:r>
      <w:r>
        <w:rPr>
          <w:b/>
          <w:highlight w:val="none"/>
          <w:lang w:val="es-AR"/>
        </w:rPr>
        <w:t>24</w:t>
      </w:r>
      <w:r>
        <w:rPr>
          <w:b/>
          <w:highlight w:val="none"/>
          <w:lang w:val="es-MX"/>
        </w:rPr>
        <w:t xml:space="preserve">                                                </w:t>
      </w:r>
      <w:r>
        <w:rPr>
          <w:b/>
          <w:highlight w:val="none"/>
          <w:lang w:val="es-AR"/>
        </w:rPr>
        <w:t xml:space="preserve"> </w:t>
      </w:r>
      <w:r>
        <w:rPr>
          <w:b/>
          <w:highlight w:val="none"/>
          <w:lang w:val="es-MX"/>
        </w:rPr>
        <w:t xml:space="preserve">   Trimestre: </w:t>
      </w:r>
      <w:r>
        <w:rPr>
          <w:b/>
          <w:highlight w:val="none"/>
          <w:lang w:val="es-AR"/>
        </w:rPr>
        <w:t>SEGUNDO</w:t>
      </w:r>
    </w:p>
    <w:p>
      <w:pPr>
        <w:tabs>
          <w:tab w:val="left" w:pos="4680"/>
        </w:tabs>
        <w:spacing w:line="360" w:lineRule="auto"/>
        <w:ind w:left="720"/>
        <w:jc w:val="both"/>
        <w:rPr>
          <w:b/>
          <w:highlight w:val="none"/>
        </w:rPr>
      </w:pPr>
      <w:r>
        <w:rPr>
          <w:highlight w:val="none"/>
          <w:lang w:val="es-MX"/>
        </w:rPr>
        <w:t>“</w:t>
      </w:r>
      <w:r>
        <w:rPr>
          <w:b/>
          <w:highlight w:val="none"/>
        </w:rPr>
        <w:t>Información Artículo 27 Ley 7.314 y 5° inc c) Acuerdo 3949 y su modifc. 4.559”.</w:t>
      </w:r>
    </w:p>
    <w:p>
      <w:pPr>
        <w:tabs>
          <w:tab w:val="left" w:pos="4680"/>
        </w:tabs>
        <w:spacing w:line="360" w:lineRule="auto"/>
        <w:ind w:left="720"/>
        <w:jc w:val="both"/>
        <w:rPr>
          <w:highlight w:val="none"/>
        </w:rPr>
      </w:pPr>
      <w:r>
        <w:rPr>
          <w:highlight w:val="none"/>
          <w:lang w:val="es-MX"/>
        </w:rPr>
        <w:t xml:space="preserve">RECURSOS CORRIENTES: </w:t>
      </w:r>
    </w:p>
    <w:p>
      <w:pPr>
        <w:tabs>
          <w:tab w:val="left" w:pos="4680"/>
        </w:tabs>
        <w:spacing w:line="360" w:lineRule="auto"/>
        <w:ind w:left="720"/>
        <w:jc w:val="both"/>
        <w:rPr>
          <w:highlight w:val="none"/>
          <w:lang w:val="es-AR"/>
        </w:rPr>
      </w:pPr>
      <w:r>
        <w:rPr>
          <w:highlight w:val="none"/>
          <w:lang w:val="es-AR"/>
        </w:rPr>
        <w:t>Los recursos corrientes, han mostrado una recuperación en virtud del trimestre anterior, teniendo un incremento aproximado de un 96,45% mayor que lo programado.</w:t>
      </w:r>
      <w:r>
        <w:rPr>
          <w:highlight w:val="none"/>
          <w:lang w:val="es-AR"/>
        </w:rPr>
        <w:t xml:space="preserve"> Se debe principalmente  al aumento por los Fondos provenientes de Depósitos Judiciales. </w:t>
      </w:r>
    </w:p>
    <w:p>
      <w:pPr>
        <w:tabs>
          <w:tab w:val="left" w:pos="4680"/>
        </w:tabs>
        <w:spacing w:line="360" w:lineRule="auto"/>
        <w:ind w:left="720"/>
        <w:jc w:val="both"/>
        <w:rPr>
          <w:highlight w:val="none"/>
          <w:lang w:val="es-AR"/>
        </w:rPr>
      </w:pPr>
      <w:r>
        <w:rPr>
          <w:highlight w:val="none"/>
          <w:lang w:val="es-MX"/>
        </w:rPr>
        <w:t>GASTOS CORRIENTES</w:t>
      </w:r>
      <w:r>
        <w:rPr>
          <w:highlight w:val="none"/>
          <w:lang w:val="es-AR"/>
        </w:rPr>
        <w:t xml:space="preserve"> </w:t>
      </w:r>
    </w:p>
    <w:p>
      <w:pPr>
        <w:tabs>
          <w:tab w:val="left" w:pos="4680"/>
        </w:tabs>
        <w:spacing w:line="360" w:lineRule="auto"/>
        <w:ind w:left="720"/>
        <w:jc w:val="both"/>
        <w:rPr>
          <w:highlight w:val="none"/>
          <w:lang w:val="es-AR"/>
        </w:rPr>
      </w:pPr>
      <w:r>
        <w:rPr>
          <w:highlight w:val="none"/>
          <w:lang w:val="es-AR"/>
        </w:rPr>
        <w:t>Los gastos corrientes, superan casi en un 45,51% lo programado, debido fundamentalmente a los aumentos de los insumos y a la previsión de los proveedores. El porcentaje resulta inferior a la variación % acumulada del IPC en el año 2024 al mes de Junio, la que asciende a 79,8%.</w:t>
      </w:r>
    </w:p>
    <w:p>
      <w:pPr>
        <w:tabs>
          <w:tab w:val="left" w:pos="4680"/>
        </w:tabs>
        <w:spacing w:line="360" w:lineRule="auto"/>
        <w:ind w:left="720"/>
        <w:jc w:val="both"/>
        <w:rPr>
          <w:highlight w:val="none"/>
          <w:lang w:val="es-AR"/>
        </w:rPr>
      </w:pPr>
      <w:r>
        <w:rPr>
          <w:highlight w:val="none"/>
          <w:lang w:val="es-AR"/>
        </w:rPr>
        <w:t>No obstante, se ha buscado cubrir los gastos corrientes con la mayor recaudación lograda y con el remanente del año anterior, conforme lo dicho en el apartado anterior.</w:t>
      </w:r>
    </w:p>
    <w:p>
      <w:pPr>
        <w:tabs>
          <w:tab w:val="left" w:pos="4680"/>
        </w:tabs>
        <w:spacing w:line="360" w:lineRule="auto"/>
        <w:ind w:left="720"/>
        <w:jc w:val="both"/>
        <w:rPr>
          <w:highlight w:val="none"/>
          <w:lang w:val="es-AR"/>
        </w:rPr>
      </w:pPr>
      <w:r>
        <w:rPr>
          <w:highlight w:val="none"/>
          <w:lang w:val="es-AR"/>
        </w:rPr>
        <w:t>GASTOS DE CAPITAL</w:t>
      </w:r>
    </w:p>
    <w:p>
      <w:pPr>
        <w:tabs>
          <w:tab w:val="left" w:pos="4680"/>
        </w:tabs>
        <w:spacing w:line="360" w:lineRule="auto"/>
        <w:ind w:left="720"/>
        <w:jc w:val="both"/>
        <w:rPr>
          <w:highlight w:val="none"/>
          <w:lang w:val="es-AR"/>
        </w:rPr>
      </w:pPr>
      <w:r>
        <w:rPr>
          <w:highlight w:val="none"/>
          <w:lang w:val="es-AR"/>
        </w:rPr>
        <w:t xml:space="preserve">Los gastos de capital en el trimestre, continúan en tendencia de superar la programación. Hay una decisión voluntaria de buscar acelerar/adelantar las compras; esto es, debido a las consecuencias del proceso inflacionario y en tanto que los bienes responden en su mayoría a insumos muy costosos del </w:t>
      </w:r>
      <w:r>
        <w:rPr>
          <w:highlight w:val="none"/>
          <w:lang w:val="es-AR"/>
        </w:rPr>
        <w:t xml:space="preserve">Cuerpo Médico Forense, de la Dirección de Informática, y del Registro Provincial de Huella Genética, </w:t>
      </w:r>
      <w:r>
        <w:rPr>
          <w:highlight w:val="none"/>
          <w:lang w:val="es-AR"/>
        </w:rPr>
        <w:t>los cuales son importados y en muchos casos no se encuentran en stock.</w:t>
      </w:r>
    </w:p>
    <w:p>
      <w:pPr>
        <w:tabs>
          <w:tab w:val="left" w:pos="4680"/>
        </w:tabs>
        <w:spacing w:line="360" w:lineRule="auto"/>
        <w:ind w:left="720"/>
        <w:jc w:val="both"/>
        <w:rPr>
          <w:highlight w:val="none"/>
          <w:lang w:val="es-AR"/>
        </w:rPr>
      </w:pPr>
      <w:r>
        <w:rPr>
          <w:highlight w:val="none"/>
          <w:lang w:val="es-AR"/>
        </w:rPr>
        <w:t>Se continúan priorizando las compras iniciadas en trimestre anterior respecto al equipamiento del Cuerpo Médico Forense y Laboratorio de Genética Forense.</w:t>
      </w:r>
    </w:p>
    <w:p>
      <w:pPr>
        <w:tabs>
          <w:tab w:val="left" w:pos="4680"/>
        </w:tabs>
        <w:spacing w:line="360" w:lineRule="auto"/>
        <w:ind w:left="720"/>
        <w:jc w:val="both"/>
        <w:rPr>
          <w:highlight w:val="none"/>
          <w:lang w:val="es-AR"/>
        </w:rPr>
      </w:pPr>
      <w:r>
        <w:rPr>
          <w:highlight w:val="none"/>
          <w:lang w:val="es-AR"/>
        </w:rPr>
        <w:t>Dada la limitación por parte del Gobierno, para acceder al dólar oficial en ciertas actividades, los proveedores deben trasladar el costo de un dólar mep a la cotización oficial, con lo cual se incrementa el costo de las compras. Asimismo, es importante mencionar que las limitaciones a las importaciones, derivan en una escasez de insumos en los rubros mencionados.</w:t>
      </w:r>
    </w:p>
    <w:p>
      <w:pPr>
        <w:tabs>
          <w:tab w:val="left" w:pos="4680"/>
        </w:tabs>
        <w:spacing w:line="360" w:lineRule="auto"/>
        <w:ind w:left="720"/>
        <w:jc w:val="both"/>
        <w:rPr>
          <w:highlight w:val="none"/>
          <w:lang w:val="es-AR"/>
        </w:rPr>
      </w:pPr>
      <w:r>
        <w:rPr>
          <w:highlight w:val="none"/>
          <w:lang w:val="es-AR"/>
        </w:rPr>
        <w:t>Se continua con la problemática del trimestre anterior y más profundizada.</w:t>
      </w:r>
    </w:p>
    <w:p>
      <w:pPr>
        <w:spacing w:after="0"/>
        <w:jc w:val="left"/>
        <w:rPr>
          <w:rFonts w:ascii="Arial" w:hAnsi="Arial" w:cs="Arial"/>
          <w:b/>
          <w:sz w:val="16"/>
          <w:szCs w:val="16"/>
          <w:highlight w:val="none"/>
        </w:rPr>
      </w:pPr>
    </w:p>
    <w:p>
      <w:pPr>
        <w:spacing w:after="0"/>
        <w:jc w:val="left"/>
        <w:rPr>
          <w:rFonts w:ascii="Arial" w:hAnsi="Arial" w:cs="Arial"/>
          <w:b/>
          <w:sz w:val="16"/>
          <w:szCs w:val="16"/>
          <w:highlight w:val="none"/>
        </w:rPr>
      </w:pPr>
      <w:r>
        <w:rPr>
          <w:rFonts w:ascii="Arial" w:hAnsi="Arial" w:cs="Arial"/>
          <w:b/>
          <w:sz w:val="16"/>
          <w:szCs w:val="16"/>
          <w:highlight w:val="none"/>
        </w:rPr>
        <w:t>SERVICIO ADMINISTRATIVO FINANCIERO –MIN. PUBLICO FISCAL-</w:t>
      </w:r>
    </w:p>
    <w:p>
      <w:pPr>
        <w:spacing w:line="276" w:lineRule="auto"/>
        <w:jc w:val="both"/>
        <w:rPr>
          <w:rFonts w:ascii="Arial" w:hAnsi="Arial" w:cs="Arial"/>
          <w:b/>
          <w:sz w:val="16"/>
          <w:szCs w:val="16"/>
          <w:highlight w:val="none"/>
          <w:lang w:val="es-MX"/>
        </w:rPr>
      </w:pPr>
      <w:r>
        <w:rPr>
          <w:rFonts w:ascii="Arial" w:hAnsi="Arial" w:cs="Arial"/>
          <w:b/>
          <w:sz w:val="16"/>
          <w:szCs w:val="16"/>
          <w:highlight w:val="none"/>
        </w:rPr>
        <w:t xml:space="preserve">Mendoza, </w:t>
      </w:r>
      <w:r>
        <w:rPr>
          <w:rFonts w:ascii="Arial" w:hAnsi="Arial" w:cs="Arial"/>
          <w:b/>
          <w:sz w:val="16"/>
          <w:szCs w:val="16"/>
          <w:highlight w:val="none"/>
          <w:lang w:val="es-AR"/>
        </w:rPr>
        <w:t>Agosto 2024</w:t>
      </w:r>
      <w:bookmarkStart w:id="0" w:name="_GoBack"/>
      <w:bookmarkEnd w:id="0"/>
    </w:p>
    <w:sectPr>
      <w:headerReference r:id="rId3" w:type="default"/>
      <w:footerReference r:id="rId4" w:type="default"/>
      <w:pgSz w:w="11907" w:h="16839"/>
      <w:pgMar w:top="1418" w:right="1701" w:bottom="1418" w:left="1701" w:header="567" w:footer="567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40" w:line="100" w:lineRule="exact"/>
      <w:rPr>
        <w:sz w:val="10"/>
        <w:szCs w:val="10"/>
      </w:rPr>
    </w:pPr>
  </w:p>
  <w:p>
    <w:pPr>
      <w:tabs>
        <w:tab w:val="right" w:pos="9069"/>
      </w:tabs>
      <w:suppressAutoHyphens/>
      <w:spacing w:line="312" w:lineRule="atLeast"/>
      <w:jc w:val="both"/>
      <w:rPr>
        <w:u w:val="double"/>
      </w:rPr>
    </w:pPr>
    <w: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-720"/>
        <w:tab w:val="clear" w:pos="4419"/>
        <w:tab w:val="clear" w:pos="8838"/>
      </w:tabs>
      <w:suppressAutoHyphens/>
      <w:spacing w:line="240" w:lineRule="auto"/>
    </w:pPr>
    <w:r>
      <w:rPr>
        <w:lang w:val="es-AR" w:eastAsia="es-AR"/>
      </w:rPr>
      <w:drawing>
        <wp:inline distT="0" distB="0" distL="0" distR="0">
          <wp:extent cx="1485900" cy="1009650"/>
          <wp:effectExtent l="0" t="0" r="0" b="0"/>
          <wp:docPr id="3" name="Imagen 3" descr="C:\Users\mcanosa\Pictures\m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C:\Users\mcanosa\Pictures\m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>
      <w:rPr>
        <w:lang w:val="es-AR" w:eastAsia="es-A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posOffset>2171700</wp:posOffset>
              </wp:positionH>
              <wp:positionV relativeFrom="paragraph">
                <wp:posOffset>-45720</wp:posOffset>
              </wp:positionV>
              <wp:extent cx="1030605" cy="914400"/>
              <wp:effectExtent l="0" t="1905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3060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uppressAutoHyphens/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71pt;margin-top:-3.6pt;height:72pt;width:81.15pt;mso-position-horizontal-relative:margin;z-index:-251658240;mso-width-relative:page;mso-height-relative:page;" filled="f" stroked="f" coordsize="21600,21600" o:gfxdata="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4iboz2wAAAAoBAAAP&#10;AAAAAAAAAAEAIAAAACIAAABkcnMvZG93bnJldi54bWxQSwECFAAUAAAACACHTuJAYcJaaNwBAACt&#10;AwAADgAAAAAAAAABACAAAAAqAQAAZHJzL2Uyb0RvYy54bWxQSwUGAAAAAAYABgBZAQAAe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uppressAutoHyphens/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 w:val="1"/>
  <w:documentProtection w:enforcement="0"/>
  <w:defaultTabStop w:val="708"/>
  <w:autoHyphenation/>
  <w:hyphenationZone w:val="425"/>
  <w:evenAndOddHeaders w:val="1"/>
  <w:drawingGridHorizontalSpacing w:val="237"/>
  <w:noPunctuationKerning w:val="1"/>
  <w:characterSpacingControl w:val="doNotCompress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CD55884"/>
    <w:rsid w:val="0003216C"/>
    <w:rsid w:val="00050A31"/>
    <w:rsid w:val="000623CE"/>
    <w:rsid w:val="000716D2"/>
    <w:rsid w:val="00071AAB"/>
    <w:rsid w:val="00087C17"/>
    <w:rsid w:val="000B76C4"/>
    <w:rsid w:val="000C5610"/>
    <w:rsid w:val="000E6552"/>
    <w:rsid w:val="000F3A4F"/>
    <w:rsid w:val="000F59AC"/>
    <w:rsid w:val="0010759B"/>
    <w:rsid w:val="00131A13"/>
    <w:rsid w:val="001364FE"/>
    <w:rsid w:val="001368DD"/>
    <w:rsid w:val="00137381"/>
    <w:rsid w:val="001440D3"/>
    <w:rsid w:val="00147DB3"/>
    <w:rsid w:val="00147F52"/>
    <w:rsid w:val="001507E7"/>
    <w:rsid w:val="001518A5"/>
    <w:rsid w:val="001520E1"/>
    <w:rsid w:val="00170095"/>
    <w:rsid w:val="00170E4F"/>
    <w:rsid w:val="001743F4"/>
    <w:rsid w:val="00182007"/>
    <w:rsid w:val="00187C33"/>
    <w:rsid w:val="001936B7"/>
    <w:rsid w:val="00196AB1"/>
    <w:rsid w:val="001A682B"/>
    <w:rsid w:val="001F2F84"/>
    <w:rsid w:val="00201333"/>
    <w:rsid w:val="0020726D"/>
    <w:rsid w:val="00210FA7"/>
    <w:rsid w:val="00216417"/>
    <w:rsid w:val="0026631D"/>
    <w:rsid w:val="002C2F53"/>
    <w:rsid w:val="002C3CAB"/>
    <w:rsid w:val="002C3FD3"/>
    <w:rsid w:val="002E0CA7"/>
    <w:rsid w:val="002E10F4"/>
    <w:rsid w:val="00306376"/>
    <w:rsid w:val="0031503B"/>
    <w:rsid w:val="0033518C"/>
    <w:rsid w:val="003437C2"/>
    <w:rsid w:val="00362644"/>
    <w:rsid w:val="0037122B"/>
    <w:rsid w:val="00377186"/>
    <w:rsid w:val="003A1C03"/>
    <w:rsid w:val="00414627"/>
    <w:rsid w:val="00425D63"/>
    <w:rsid w:val="004403E6"/>
    <w:rsid w:val="00444E15"/>
    <w:rsid w:val="004643D8"/>
    <w:rsid w:val="00466355"/>
    <w:rsid w:val="0049543A"/>
    <w:rsid w:val="00497C24"/>
    <w:rsid w:val="004B096B"/>
    <w:rsid w:val="004C43C6"/>
    <w:rsid w:val="004C7BA5"/>
    <w:rsid w:val="004E5B50"/>
    <w:rsid w:val="004E7628"/>
    <w:rsid w:val="004F48F2"/>
    <w:rsid w:val="005149B1"/>
    <w:rsid w:val="005647F2"/>
    <w:rsid w:val="005662D1"/>
    <w:rsid w:val="00573A09"/>
    <w:rsid w:val="00581299"/>
    <w:rsid w:val="005A4526"/>
    <w:rsid w:val="005C1B16"/>
    <w:rsid w:val="005C55F1"/>
    <w:rsid w:val="005E53D0"/>
    <w:rsid w:val="006002EB"/>
    <w:rsid w:val="006128EF"/>
    <w:rsid w:val="006264B4"/>
    <w:rsid w:val="00643033"/>
    <w:rsid w:val="00644CC3"/>
    <w:rsid w:val="00652E4C"/>
    <w:rsid w:val="00661468"/>
    <w:rsid w:val="006649F0"/>
    <w:rsid w:val="0067128F"/>
    <w:rsid w:val="0067245D"/>
    <w:rsid w:val="0068470E"/>
    <w:rsid w:val="00691CE3"/>
    <w:rsid w:val="00695DCD"/>
    <w:rsid w:val="006A05CC"/>
    <w:rsid w:val="006A35A7"/>
    <w:rsid w:val="006B3067"/>
    <w:rsid w:val="006B5451"/>
    <w:rsid w:val="007152D7"/>
    <w:rsid w:val="00732A28"/>
    <w:rsid w:val="00746C14"/>
    <w:rsid w:val="007666CF"/>
    <w:rsid w:val="007709CC"/>
    <w:rsid w:val="007C2C59"/>
    <w:rsid w:val="00801F23"/>
    <w:rsid w:val="00834843"/>
    <w:rsid w:val="00837632"/>
    <w:rsid w:val="0085640F"/>
    <w:rsid w:val="008567AA"/>
    <w:rsid w:val="008809F0"/>
    <w:rsid w:val="00892712"/>
    <w:rsid w:val="008A680A"/>
    <w:rsid w:val="008B0BB0"/>
    <w:rsid w:val="008B35A7"/>
    <w:rsid w:val="008E6C4B"/>
    <w:rsid w:val="008F18C0"/>
    <w:rsid w:val="008F1F0F"/>
    <w:rsid w:val="008F4E35"/>
    <w:rsid w:val="00907648"/>
    <w:rsid w:val="00912FDD"/>
    <w:rsid w:val="00930FDE"/>
    <w:rsid w:val="00984C93"/>
    <w:rsid w:val="00987CE1"/>
    <w:rsid w:val="0099405C"/>
    <w:rsid w:val="009C16AF"/>
    <w:rsid w:val="009C600F"/>
    <w:rsid w:val="009D3723"/>
    <w:rsid w:val="009E00C1"/>
    <w:rsid w:val="009E04F2"/>
    <w:rsid w:val="00A03B7B"/>
    <w:rsid w:val="00A200C9"/>
    <w:rsid w:val="00A250D5"/>
    <w:rsid w:val="00A32F56"/>
    <w:rsid w:val="00A36028"/>
    <w:rsid w:val="00A91424"/>
    <w:rsid w:val="00A9613C"/>
    <w:rsid w:val="00AA2C77"/>
    <w:rsid w:val="00AC3FB9"/>
    <w:rsid w:val="00AC702A"/>
    <w:rsid w:val="00AD226F"/>
    <w:rsid w:val="00B021DA"/>
    <w:rsid w:val="00B13A52"/>
    <w:rsid w:val="00B222F8"/>
    <w:rsid w:val="00B24CF4"/>
    <w:rsid w:val="00B26993"/>
    <w:rsid w:val="00B4148F"/>
    <w:rsid w:val="00B4570C"/>
    <w:rsid w:val="00B5208C"/>
    <w:rsid w:val="00B635F2"/>
    <w:rsid w:val="00B74876"/>
    <w:rsid w:val="00B9047F"/>
    <w:rsid w:val="00BA1CC3"/>
    <w:rsid w:val="00BB7C2B"/>
    <w:rsid w:val="00BC1664"/>
    <w:rsid w:val="00BC2546"/>
    <w:rsid w:val="00BC43A4"/>
    <w:rsid w:val="00BC6A9F"/>
    <w:rsid w:val="00BD0E0C"/>
    <w:rsid w:val="00BF355C"/>
    <w:rsid w:val="00C05085"/>
    <w:rsid w:val="00C1593D"/>
    <w:rsid w:val="00C425C3"/>
    <w:rsid w:val="00C56C7E"/>
    <w:rsid w:val="00C776A4"/>
    <w:rsid w:val="00CA2C6C"/>
    <w:rsid w:val="00CC0600"/>
    <w:rsid w:val="00CC78AC"/>
    <w:rsid w:val="00CF7953"/>
    <w:rsid w:val="00D0073D"/>
    <w:rsid w:val="00D025FB"/>
    <w:rsid w:val="00D07232"/>
    <w:rsid w:val="00D10245"/>
    <w:rsid w:val="00D21BDD"/>
    <w:rsid w:val="00D315F3"/>
    <w:rsid w:val="00D657FD"/>
    <w:rsid w:val="00D65F07"/>
    <w:rsid w:val="00D92BB7"/>
    <w:rsid w:val="00DB4184"/>
    <w:rsid w:val="00DB711A"/>
    <w:rsid w:val="00DC76D2"/>
    <w:rsid w:val="00DC7E74"/>
    <w:rsid w:val="00DD30ED"/>
    <w:rsid w:val="00E04673"/>
    <w:rsid w:val="00E27643"/>
    <w:rsid w:val="00E6417F"/>
    <w:rsid w:val="00E64C21"/>
    <w:rsid w:val="00EC24C6"/>
    <w:rsid w:val="00EC6200"/>
    <w:rsid w:val="00EE6894"/>
    <w:rsid w:val="00EF2933"/>
    <w:rsid w:val="00F05146"/>
    <w:rsid w:val="00F1115D"/>
    <w:rsid w:val="00F324FE"/>
    <w:rsid w:val="00F3513C"/>
    <w:rsid w:val="00F465C5"/>
    <w:rsid w:val="00F5180D"/>
    <w:rsid w:val="00F51B21"/>
    <w:rsid w:val="00F51D87"/>
    <w:rsid w:val="00F64977"/>
    <w:rsid w:val="00F8455C"/>
    <w:rsid w:val="00F9306C"/>
    <w:rsid w:val="00FC4A43"/>
    <w:rsid w:val="00FE579E"/>
    <w:rsid w:val="00FF2AFE"/>
    <w:rsid w:val="0E0B3E3F"/>
    <w:rsid w:val="141D3DA8"/>
    <w:rsid w:val="15241228"/>
    <w:rsid w:val="16693A27"/>
    <w:rsid w:val="184C04B2"/>
    <w:rsid w:val="1CD55884"/>
    <w:rsid w:val="29244D7A"/>
    <w:rsid w:val="2A895F9A"/>
    <w:rsid w:val="36012FEE"/>
    <w:rsid w:val="37A022DC"/>
    <w:rsid w:val="3F4B729B"/>
    <w:rsid w:val="401D3BD2"/>
    <w:rsid w:val="440932E0"/>
    <w:rsid w:val="44112AD1"/>
    <w:rsid w:val="44455492"/>
    <w:rsid w:val="4B8512CE"/>
    <w:rsid w:val="50CA0558"/>
    <w:rsid w:val="52FE0B4E"/>
    <w:rsid w:val="5E902932"/>
    <w:rsid w:val="608277F9"/>
    <w:rsid w:val="678B1ACA"/>
    <w:rsid w:val="6C753556"/>
    <w:rsid w:val="6E515940"/>
    <w:rsid w:val="74252D60"/>
    <w:rsid w:val="77840150"/>
    <w:rsid w:val="7B4A301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s-A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40" w:lineRule="atLeast"/>
      <w:jc w:val="center"/>
    </w:pPr>
    <w:rPr>
      <w:rFonts w:ascii="Times New Roman" w:hAnsi="Times New Roman" w:eastAsia="Times New Roman" w:cs="Times New Roman"/>
      <w:bCs/>
      <w:spacing w:val="-3"/>
      <w:sz w:val="24"/>
      <w:szCs w:val="24"/>
      <w:lang w:val="es-ES" w:eastAsia="es-ES" w:bidi="ar-SA"/>
    </w:rPr>
  </w:style>
  <w:style w:type="paragraph" w:styleId="2">
    <w:name w:val="heading 1"/>
    <w:basedOn w:val="1"/>
    <w:next w:val="1"/>
    <w:qFormat/>
    <w:uiPriority w:val="0"/>
    <w:pPr>
      <w:keepNext/>
      <w:suppressAutoHyphens/>
      <w:spacing w:line="312" w:lineRule="atLeast"/>
      <w:outlineLvl w:val="0"/>
    </w:pPr>
    <w:rPr>
      <w:rFonts w:ascii="Courier" w:hAnsi="Courier"/>
      <w:b/>
      <w:bCs w:val="0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unhideWhenUsed/>
    <w:qFormat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paragraph" w:styleId="4">
    <w:name w:val="header"/>
    <w:basedOn w:val="1"/>
    <w:qFormat/>
    <w:uiPriority w:val="0"/>
    <w:pPr>
      <w:tabs>
        <w:tab w:val="center" w:pos="4419"/>
        <w:tab w:val="right" w:pos="8838"/>
      </w:tabs>
    </w:pPr>
  </w:style>
  <w:style w:type="paragraph" w:styleId="5">
    <w:name w:val="footer"/>
    <w:basedOn w:val="1"/>
    <w:qFormat/>
    <w:uiPriority w:val="0"/>
    <w:pPr>
      <w:tabs>
        <w:tab w:val="center" w:pos="4419"/>
        <w:tab w:val="right" w:pos="8838"/>
      </w:tabs>
    </w:pPr>
  </w:style>
  <w:style w:type="character" w:customStyle="1" w:styleId="8">
    <w:name w:val="Texto de globo Car"/>
    <w:link w:val="3"/>
    <w:semiHidden/>
    <w:uiPriority w:val="99"/>
    <w:rPr>
      <w:rFonts w:ascii="Tahoma" w:hAnsi="Tahoma" w:cs="Tahoma"/>
      <w:bCs/>
      <w:spacing w:val="-3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D0E3FF-A5DC-4F8E-8924-A7FDF05E1F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Ministerio Publico</Company>
  <Pages>1</Pages>
  <Words>350</Words>
  <Characters>1930</Characters>
  <Lines>16</Lines>
  <Paragraphs>4</Paragraphs>
  <ScaleCrop>false</ScaleCrop>
  <LinksUpToDate>false</LinksUpToDate>
  <CharactersWithSpaces>2276</CharactersWithSpaces>
  <Application>WPS Office_..._F1E327BC-269C-435d-A152-05C5408002CA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2024-08-14T17:20:00Z</dcterms:created>
  <dc:creator>Sonia Colobini</dc:creator>
  <cp:lastModifiedBy>Administrador</cp:lastModifiedBy>
  <cp:lastPrinted>2023-05-17T12:11:00Z</cp:lastPrinted>
  <dcterms:modified xsi:type="dcterms:W3CDTF">2024-08-15T13:03:52Z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2058-...</vt:lpwstr>
  </property>
</Properties>
</file>