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72E" w:rsidRPr="006269EF" w:rsidRDefault="0054272E" w:rsidP="0054272E">
      <w:pPr>
        <w:pStyle w:val="Norma3"/>
        <w:ind w:left="0"/>
        <w:jc w:val="both"/>
        <w:rPr>
          <w:rFonts w:ascii="REM" w:hAnsi="REM"/>
          <w:sz w:val="22"/>
          <w:szCs w:val="24"/>
        </w:rPr>
      </w:pPr>
    </w:p>
    <w:p w:rsidR="00FB6096" w:rsidRDefault="00FB6096" w:rsidP="00FB6096">
      <w:pPr>
        <w:pStyle w:val="Norma1"/>
        <w:rPr>
          <w:lang w:val="es-AR"/>
        </w:rPr>
      </w:pPr>
      <w:r>
        <w:rPr>
          <w:lang w:val="es-AR"/>
        </w:rPr>
        <w:t>Ley 7.314 – Acordada 3.949</w:t>
      </w:r>
    </w:p>
    <w:p w:rsidR="00FB6096" w:rsidRDefault="00FB6096" w:rsidP="00FB6096">
      <w:pPr>
        <w:pStyle w:val="Norma1"/>
        <w:rPr>
          <w:lang w:val="es-AR"/>
        </w:rPr>
      </w:pPr>
    </w:p>
    <w:tbl>
      <w:tblPr>
        <w:tblStyle w:val="Tab"/>
        <w:tblW w:w="5400" w:type="pct"/>
        <w:tblInd w:w="-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442"/>
        <w:gridCol w:w="36"/>
        <w:gridCol w:w="266"/>
        <w:gridCol w:w="171"/>
        <w:gridCol w:w="134"/>
        <w:gridCol w:w="134"/>
        <w:gridCol w:w="608"/>
        <w:gridCol w:w="513"/>
        <w:gridCol w:w="513"/>
        <w:gridCol w:w="531"/>
        <w:gridCol w:w="513"/>
        <w:gridCol w:w="360"/>
      </w:tblGrid>
      <w:tr w:rsidR="00FB6096" w:rsidTr="00FB6096">
        <w:trPr>
          <w:gridBefore w:val="1"/>
          <w:wBefore w:w="25" w:type="pct"/>
          <w:trHeight w:val="255"/>
        </w:trPr>
        <w:tc>
          <w:tcPr>
            <w:tcW w:w="3282" w:type="pct"/>
            <w:gridSpan w:val="2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1"/>
              <w:rPr>
                <w:sz w:val="16"/>
                <w:szCs w:val="16"/>
              </w:rPr>
            </w:pPr>
          </w:p>
        </w:tc>
        <w:tc>
          <w:tcPr>
            <w:tcW w:w="136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1"/>
              <w:rPr>
                <w:sz w:val="16"/>
                <w:szCs w:val="16"/>
              </w:rPr>
            </w:pPr>
          </w:p>
        </w:tc>
        <w:tc>
          <w:tcPr>
            <w:tcW w:w="87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1"/>
              <w:rPr>
                <w:sz w:val="16"/>
                <w:szCs w:val="16"/>
              </w:rPr>
            </w:pPr>
          </w:p>
        </w:tc>
        <w:tc>
          <w:tcPr>
            <w:tcW w:w="69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1"/>
              <w:rPr>
                <w:sz w:val="16"/>
                <w:szCs w:val="16"/>
              </w:rPr>
            </w:pPr>
          </w:p>
        </w:tc>
        <w:tc>
          <w:tcPr>
            <w:tcW w:w="69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1"/>
              <w:rPr>
                <w:sz w:val="16"/>
                <w:szCs w:val="16"/>
              </w:rPr>
            </w:pPr>
          </w:p>
        </w:tc>
        <w:tc>
          <w:tcPr>
            <w:tcW w:w="133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FB6096" w:rsidRDefault="00FB6096">
            <w:pPr>
              <w:pStyle w:val="Norma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FB6096" w:rsidTr="00FB6096">
        <w:trPr>
          <w:gridAfter w:val="1"/>
          <w:wAfter w:w="362" w:type="pct"/>
          <w:cantSplit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REPARTICION/ORGANISMO: DIRECCION DE RESPONSABILIDAD PENAL JUVENIL</w:t>
            </w:r>
          </w:p>
        </w:tc>
      </w:tr>
      <w:tr w:rsidR="00FB6096" w:rsidTr="00FB6096">
        <w:trPr>
          <w:gridAfter w:val="1"/>
          <w:wAfter w:w="362" w:type="pct"/>
          <w:cantSplit/>
          <w:trHeight w:val="166"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NOMENCLADOR: 2.08.26</w:t>
            </w:r>
          </w:p>
        </w:tc>
      </w:tr>
      <w:tr w:rsidR="00FB6096" w:rsidTr="00FB6096">
        <w:trPr>
          <w:gridAfter w:val="1"/>
          <w:wAfter w:w="362" w:type="pct"/>
          <w:cantSplit/>
        </w:trPr>
        <w:tc>
          <w:tcPr>
            <w:tcW w:w="32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EJERCICIO 2024</w:t>
            </w:r>
          </w:p>
        </w:tc>
        <w:tc>
          <w:tcPr>
            <w:tcW w:w="69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TRIMESTRE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FB6096" w:rsidTr="00FB6096">
        <w:trPr>
          <w:gridAfter w:val="1"/>
          <w:wAfter w:w="362" w:type="pct"/>
          <w:cantSplit/>
          <w:trHeight w:val="32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096" w:rsidRDefault="00FB6096">
            <w:pPr>
              <w:pStyle w:val="Norma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096" w:rsidRDefault="00FB6096" w:rsidP="00FB6096">
            <w:pPr>
              <w:pStyle w:val="Norma1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FB6096" w:rsidP="000070B9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557BE3" w:rsidP="00557BE3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>X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FB6096" w:rsidTr="00FB6096">
        <w:trPr>
          <w:gridAfter w:val="1"/>
          <w:wAfter w:w="362" w:type="pct"/>
          <w:cantSplit/>
          <w:trHeight w:val="429"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REFERENCIA</w:t>
            </w:r>
            <w:r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</w:rPr>
              <w:t>Causas de los incumplimientos de las metas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(Acuerdo Nº 4559 Art.5º inc. c)</w:t>
            </w:r>
          </w:p>
        </w:tc>
      </w:tr>
    </w:tbl>
    <w:p w:rsidR="00FB6096" w:rsidRDefault="00FB6096" w:rsidP="00FB6096">
      <w:pPr>
        <w:pStyle w:val="Norma1"/>
        <w:jc w:val="center"/>
        <w:rPr>
          <w:sz w:val="28"/>
          <w:szCs w:val="28"/>
          <w:lang w:val="es-AR"/>
        </w:rPr>
      </w:pPr>
    </w:p>
    <w:p w:rsidR="00FB6096" w:rsidRDefault="00FB6096" w:rsidP="00FB6096">
      <w:pPr>
        <w:pStyle w:val="Norma1"/>
        <w:jc w:val="center"/>
        <w:rPr>
          <w:sz w:val="28"/>
          <w:szCs w:val="28"/>
          <w:lang w:val="es-AR"/>
        </w:rPr>
      </w:pPr>
    </w:p>
    <w:p w:rsidR="00FB6096" w:rsidRDefault="00FB6096" w:rsidP="00FB6096">
      <w:pPr>
        <w:pStyle w:val="Norma1"/>
        <w:jc w:val="both"/>
      </w:pPr>
      <w:r>
        <w:t xml:space="preserve">                                         </w:t>
      </w:r>
      <w:r>
        <w:rPr>
          <w:rFonts w:ascii="Arial" w:hAnsi="Arial" w:cs="Arial"/>
        </w:rPr>
        <w:t xml:space="preserve">Por intermedio de la presente, se procede a explicar las diferencias entre lo Ejecutado y lo Programado según Art. 5 </w:t>
      </w:r>
      <w:proofErr w:type="spellStart"/>
      <w:r>
        <w:rPr>
          <w:rFonts w:ascii="Arial" w:hAnsi="Arial" w:cs="Arial"/>
        </w:rPr>
        <w:t>inc</w:t>
      </w:r>
      <w:proofErr w:type="spellEnd"/>
      <w:r>
        <w:rPr>
          <w:rFonts w:ascii="Arial" w:hAnsi="Arial" w:cs="Arial"/>
        </w:rPr>
        <w:t xml:space="preserve"> c) Decreto Acuerdo Nº 3949 Honorable Tribunal de Cuentas. </w:t>
      </w:r>
    </w:p>
    <w:p w:rsidR="00FB6096" w:rsidRDefault="00FB6096" w:rsidP="00FB6096">
      <w:pPr>
        <w:pStyle w:val="Norma1"/>
        <w:jc w:val="both"/>
      </w:pPr>
    </w:p>
    <w:p w:rsidR="00FB6096" w:rsidRDefault="00FB6096" w:rsidP="00FB6096">
      <w:pPr>
        <w:pStyle w:val="Norma1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Recursos Corrientes</w:t>
      </w:r>
      <w:r>
        <w:rPr>
          <w:rFonts w:ascii="Arial" w:hAnsi="Arial" w:cs="Arial"/>
        </w:rPr>
        <w:t>: No existen diferencias.</w:t>
      </w:r>
    </w:p>
    <w:p w:rsidR="00FB6096" w:rsidRDefault="00FB6096" w:rsidP="00FB6096">
      <w:pPr>
        <w:pStyle w:val="Norma1"/>
        <w:ind w:left="284"/>
        <w:jc w:val="both"/>
        <w:rPr>
          <w:rFonts w:ascii="Arial" w:hAnsi="Arial" w:cs="Arial"/>
        </w:rPr>
      </w:pPr>
    </w:p>
    <w:p w:rsidR="00FE1D05" w:rsidRPr="00FD3868" w:rsidRDefault="00FB6096" w:rsidP="00FE1D05">
      <w:pPr>
        <w:pStyle w:val="Norma1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Gastos Corrientes:</w:t>
      </w:r>
      <w:r w:rsidR="00FE1D05">
        <w:rPr>
          <w:rFonts w:ascii="Arial" w:hAnsi="Arial" w:cs="Arial"/>
        </w:rPr>
        <w:t xml:space="preserve"> En este </w:t>
      </w:r>
      <w:r w:rsidR="000B2712">
        <w:rPr>
          <w:rFonts w:ascii="Arial" w:hAnsi="Arial" w:cs="Arial"/>
        </w:rPr>
        <w:t>tercer</w:t>
      </w:r>
      <w:r w:rsidR="00FE1D05">
        <w:rPr>
          <w:rFonts w:ascii="Arial" w:hAnsi="Arial" w:cs="Arial"/>
        </w:rPr>
        <w:t xml:space="preserve"> trimestre se avanzó con la ejecución presupuestaria. Este avance tiene la i</w:t>
      </w:r>
      <w:r w:rsidR="000B2712">
        <w:rPr>
          <w:rFonts w:ascii="Arial" w:hAnsi="Arial" w:cs="Arial"/>
        </w:rPr>
        <w:t xml:space="preserve">nfluencia </w:t>
      </w:r>
      <w:r w:rsidR="00E74C43">
        <w:rPr>
          <w:rFonts w:ascii="Arial" w:hAnsi="Arial" w:cs="Arial"/>
        </w:rPr>
        <w:t>de</w:t>
      </w:r>
      <w:r w:rsidR="00FE1D05" w:rsidRPr="00FE1D05">
        <w:rPr>
          <w:rFonts w:ascii="Arial" w:hAnsi="Arial" w:cs="Arial"/>
        </w:rPr>
        <w:t>l impacto de acuerdos paritarios en la partida de personal</w:t>
      </w:r>
      <w:r w:rsidR="00FD3868">
        <w:rPr>
          <w:rFonts w:ascii="Arial" w:hAnsi="Arial" w:cs="Arial"/>
        </w:rPr>
        <w:t xml:space="preserve">, como también </w:t>
      </w:r>
      <w:r w:rsidR="00E74C43">
        <w:rPr>
          <w:rFonts w:ascii="Arial" w:hAnsi="Arial" w:cs="Arial"/>
        </w:rPr>
        <w:t>e</w:t>
      </w:r>
      <w:r w:rsidR="00FE1D05" w:rsidRPr="00FE1D05">
        <w:rPr>
          <w:rFonts w:ascii="Arial" w:hAnsi="Arial" w:cs="Arial"/>
        </w:rPr>
        <w:t>l incremento de costos en las contrataciones de bienes y servicios.</w:t>
      </w:r>
    </w:p>
    <w:p w:rsidR="00FB6096" w:rsidRDefault="00FB6096" w:rsidP="00FB6096">
      <w:pPr>
        <w:pStyle w:val="Prrafodelista"/>
        <w:rPr>
          <w:rFonts w:ascii="Arial" w:hAnsi="Arial" w:cs="Arial"/>
        </w:rPr>
      </w:pPr>
    </w:p>
    <w:p w:rsidR="00FB6096" w:rsidRDefault="00FB6096" w:rsidP="00FB6096">
      <w:pPr>
        <w:pStyle w:val="Norma1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Gastos de Capital</w:t>
      </w:r>
      <w:r>
        <w:rPr>
          <w:rFonts w:ascii="Arial" w:hAnsi="Arial" w:cs="Arial"/>
        </w:rPr>
        <w:t>: No existen diferencias.</w:t>
      </w:r>
    </w:p>
    <w:p w:rsidR="00FB6096" w:rsidRDefault="00FB6096" w:rsidP="00FB6096">
      <w:pPr>
        <w:pStyle w:val="Norma1"/>
        <w:ind w:left="-76"/>
        <w:jc w:val="both"/>
        <w:rPr>
          <w:rFonts w:ascii="Arial" w:hAnsi="Arial" w:cs="Arial"/>
        </w:rPr>
      </w:pPr>
    </w:p>
    <w:p w:rsidR="00FB6096" w:rsidRDefault="00FB6096" w:rsidP="00FB6096">
      <w:pPr>
        <w:pStyle w:val="Norma1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Recursos Figurativos: </w:t>
      </w:r>
      <w:r>
        <w:rPr>
          <w:rFonts w:ascii="Arial" w:hAnsi="Arial" w:cs="Arial"/>
        </w:rPr>
        <w:t xml:space="preserve">La diferencia obedece a que no es posible anticipar con exactitud el ritmo de transferencia de remesas por parte de la Tesorería General de la Provincia, la que está relacionada con el </w:t>
      </w:r>
      <w:proofErr w:type="spellStart"/>
      <w:r>
        <w:rPr>
          <w:rFonts w:ascii="Arial" w:hAnsi="Arial" w:cs="Arial"/>
        </w:rPr>
        <w:t>devengamiento</w:t>
      </w:r>
      <w:proofErr w:type="spellEnd"/>
      <w:r>
        <w:rPr>
          <w:rFonts w:ascii="Arial" w:hAnsi="Arial" w:cs="Arial"/>
        </w:rPr>
        <w:t xml:space="preserve"> y con la disponibilidad de fondos de la Provincia.</w:t>
      </w:r>
      <w:bookmarkStart w:id="0" w:name="_GoBack"/>
      <w:bookmarkEnd w:id="0"/>
    </w:p>
    <w:p w:rsidR="00FB6096" w:rsidRDefault="00FB6096" w:rsidP="00FB6096">
      <w:pPr>
        <w:pStyle w:val="Norma1"/>
        <w:jc w:val="center"/>
        <w:rPr>
          <w:sz w:val="16"/>
          <w:szCs w:val="16"/>
        </w:rPr>
      </w:pPr>
    </w:p>
    <w:p w:rsidR="00B43E9F" w:rsidRPr="00E31A42" w:rsidRDefault="00B43E9F" w:rsidP="00B43E9F">
      <w:pPr>
        <w:pStyle w:val="Norma3"/>
        <w:jc w:val="center"/>
        <w:rPr>
          <w:b/>
          <w:sz w:val="16"/>
          <w:szCs w:val="16"/>
        </w:rPr>
      </w:pPr>
    </w:p>
    <w:sectPr w:rsidR="00B43E9F" w:rsidRPr="00E31A42" w:rsidSect="006269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26" w:right="1701" w:bottom="993" w:left="170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712" w:rsidRDefault="000B2712">
      <w:pPr>
        <w:pStyle w:val="Norma3"/>
      </w:pPr>
      <w:r>
        <w:separator/>
      </w:r>
    </w:p>
  </w:endnote>
  <w:endnote w:type="continuationSeparator" w:id="0">
    <w:p w:rsidR="000B2712" w:rsidRDefault="000B2712">
      <w:pPr>
        <w:pStyle w:val="Norm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M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9" w:usb3="00000000" w:csb0="0000019F" w:csb1="00000000"/>
  </w:font>
  <w:font w:name="REM ExtraLight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2" w:rsidRDefault="000B271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2" w:rsidRDefault="000B2712" w:rsidP="006269EF">
    <w:pPr>
      <w:pStyle w:val="Piedepgina"/>
      <w:tabs>
        <w:tab w:val="clear" w:pos="4252"/>
        <w:tab w:val="clear" w:pos="8504"/>
      </w:tabs>
      <w:ind w:left="0"/>
      <w:jc w:val="right"/>
      <w:rPr>
        <w:rFonts w:ascii="REM" w:hAnsi="REM"/>
        <w:sz w:val="18"/>
        <w:szCs w:val="18"/>
      </w:rPr>
    </w:pPr>
    <w:r>
      <w:rPr>
        <w:rFonts w:ascii="REM" w:hAnsi="REM"/>
        <w:noProof/>
        <w:sz w:val="18"/>
        <w:szCs w:val="18"/>
        <w:lang w:eastAsia="es-AR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74930</wp:posOffset>
              </wp:positionV>
              <wp:extent cx="5375910" cy="7620"/>
              <wp:effectExtent l="0" t="0" r="15240" b="30480"/>
              <wp:wrapNone/>
              <wp:docPr id="20" name="Conector rec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20" o:spid="_x0000_s1026" style="position:absolute;flip:x y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5.9pt" to="423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</w:p>
  <w:p w:rsidR="000B2712" w:rsidRPr="006269EF" w:rsidRDefault="000B2712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Río Juramento y Montes de Oca – Godoy Cruz - Mendoza – CP M5501 </w:t>
    </w:r>
  </w:p>
  <w:p w:rsidR="000B2712" w:rsidRPr="006269EF" w:rsidRDefault="000B2712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Teléfono: +54 0261 4139700 | drpj@mendoza.gov.ar | </w:t>
    </w:r>
    <w:r w:rsidRPr="006269EF">
      <w:rPr>
        <w:rFonts w:ascii="REM" w:hAnsi="REM"/>
        <w:b/>
        <w:sz w:val="18"/>
        <w:szCs w:val="18"/>
      </w:rPr>
      <w:t>www.mendoza.gov.ar</w:t>
    </w:r>
  </w:p>
  <w:p w:rsidR="000B2712" w:rsidRDefault="000B2712" w:rsidP="006269EF">
    <w:pPr>
      <w:pStyle w:val="Piedepgina"/>
      <w:tabs>
        <w:tab w:val="clear" w:pos="4252"/>
        <w:tab w:val="clear" w:pos="8504"/>
      </w:tabs>
      <w:ind w:left="0"/>
      <w:rPr>
        <w:rFonts w:ascii="Lato" w:hAnsi="Lato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2" w:rsidRDefault="000B271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712" w:rsidRDefault="000B2712">
      <w:pPr>
        <w:pStyle w:val="Norma3"/>
      </w:pPr>
      <w:r>
        <w:separator/>
      </w:r>
    </w:p>
  </w:footnote>
  <w:footnote w:type="continuationSeparator" w:id="0">
    <w:p w:rsidR="000B2712" w:rsidRDefault="000B2712">
      <w:pPr>
        <w:pStyle w:val="Norm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2" w:rsidRDefault="000B271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2" w:rsidRDefault="000B2712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0B2712" w:rsidRDefault="000B2712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  <w:r>
      <w:rPr>
        <w:noProof/>
        <w:color w:val="3131AC"/>
        <w:lang w:eastAsia="es-AR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40005</wp:posOffset>
          </wp:positionH>
          <wp:positionV relativeFrom="paragraph">
            <wp:posOffset>-3810</wp:posOffset>
          </wp:positionV>
          <wp:extent cx="1806575" cy="827405"/>
          <wp:effectExtent l="0" t="0" r="3175" b="0"/>
          <wp:wrapNone/>
          <wp:docPr id="42" name="Imagen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2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657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B2712" w:rsidRDefault="000B2712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0B2712" w:rsidRDefault="000B2712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0B2712" w:rsidRPr="00543099" w:rsidRDefault="000B2712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000F9F"/>
        <w:sz w:val="20"/>
      </w:rPr>
    </w:pPr>
    <w:r>
      <w:rPr>
        <w:rFonts w:ascii="REM" w:hAnsi="REM"/>
        <w:noProof/>
        <w:sz w:val="18"/>
        <w:szCs w:val="18"/>
        <w:lang w:eastAsia="es-AR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288925</wp:posOffset>
              </wp:positionV>
              <wp:extent cx="5375910" cy="7620"/>
              <wp:effectExtent l="0" t="0" r="15240" b="30480"/>
              <wp:wrapNone/>
              <wp:docPr id="30" name="Conector recto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30" o:spid="_x0000_s1026" style="position:absolute;flip:x y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2.1pt,22.75pt" to="795.4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rFonts w:ascii="REM ExtraLight" w:hAnsi="REM ExtraLight"/>
        <w:b/>
        <w:color w:val="000F9F"/>
        <w:sz w:val="22"/>
        <w:szCs w:val="24"/>
      </w:rPr>
      <w:t xml:space="preserve">                                                                   </w:t>
    </w:r>
    <w:r w:rsidRPr="001F3A6F">
      <w:rPr>
        <w:rFonts w:ascii="REM ExtraLight" w:hAnsi="REM ExtraLight"/>
        <w:b/>
        <w:color w:val="000F9F"/>
        <w:sz w:val="22"/>
        <w:szCs w:val="24"/>
      </w:rPr>
      <w:t>Dirección de Responsabilidad Penal Juvenil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2" w:rsidRDefault="000B271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8149"/>
      </v:shape>
    </w:pict>
  </w:numPicBullet>
  <w:numPicBullet w:numPicBulletId="1">
    <w:pict>
      <v:shape id="_x0000_i1031" type="#_x0000_t75" style="width:33.75pt;height:23.25pt;visibility:visible" o:bullet="t">
        <v:imagedata r:id="rId2" o:title=""/>
      </v:shape>
    </w:pict>
  </w:numPicBullet>
  <w:abstractNum w:abstractNumId="0">
    <w:nsid w:val="09A95A5F"/>
    <w:multiLevelType w:val="hybridMultilevel"/>
    <w:tmpl w:val="D84A0D6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514F3"/>
    <w:multiLevelType w:val="hybridMultilevel"/>
    <w:tmpl w:val="D2B28AF2"/>
    <w:lvl w:ilvl="0" w:tplc="0C0A0009">
      <w:start w:val="1"/>
      <w:numFmt w:val="bullet"/>
      <w:lvlText w:val="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F60538"/>
    <w:multiLevelType w:val="hybridMultilevel"/>
    <w:tmpl w:val="A4F609F0"/>
    <w:lvl w:ilvl="0" w:tplc="B2D2A2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A67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9801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6A11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58CF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DC9C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2EF1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EC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5628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0BD560C"/>
    <w:multiLevelType w:val="hybridMultilevel"/>
    <w:tmpl w:val="CA3288F0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ED767D"/>
    <w:multiLevelType w:val="hybridMultilevel"/>
    <w:tmpl w:val="DE169B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672066"/>
    <w:multiLevelType w:val="hybridMultilevel"/>
    <w:tmpl w:val="AD784054"/>
    <w:lvl w:ilvl="0" w:tplc="2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72E"/>
    <w:rsid w:val="000070B9"/>
    <w:rsid w:val="00021F63"/>
    <w:rsid w:val="000535B5"/>
    <w:rsid w:val="000832A1"/>
    <w:rsid w:val="00086E8C"/>
    <w:rsid w:val="00090119"/>
    <w:rsid w:val="000B2712"/>
    <w:rsid w:val="000C2372"/>
    <w:rsid w:val="000D4D7F"/>
    <w:rsid w:val="000F5CFA"/>
    <w:rsid w:val="00106412"/>
    <w:rsid w:val="00106651"/>
    <w:rsid w:val="00126F4A"/>
    <w:rsid w:val="00126F7E"/>
    <w:rsid w:val="0013025E"/>
    <w:rsid w:val="001370C0"/>
    <w:rsid w:val="00152703"/>
    <w:rsid w:val="0016548B"/>
    <w:rsid w:val="0016596C"/>
    <w:rsid w:val="00177E25"/>
    <w:rsid w:val="00181BD5"/>
    <w:rsid w:val="001965DF"/>
    <w:rsid w:val="001B004C"/>
    <w:rsid w:val="001C3BBD"/>
    <w:rsid w:val="001E19CD"/>
    <w:rsid w:val="001F3A6F"/>
    <w:rsid w:val="00207CA9"/>
    <w:rsid w:val="00210980"/>
    <w:rsid w:val="00220CE4"/>
    <w:rsid w:val="00264F7C"/>
    <w:rsid w:val="00272175"/>
    <w:rsid w:val="002A2C2B"/>
    <w:rsid w:val="002D211F"/>
    <w:rsid w:val="002D21F9"/>
    <w:rsid w:val="002D71B5"/>
    <w:rsid w:val="002E0702"/>
    <w:rsid w:val="002F0284"/>
    <w:rsid w:val="00367754"/>
    <w:rsid w:val="0037711B"/>
    <w:rsid w:val="00380391"/>
    <w:rsid w:val="00394CB7"/>
    <w:rsid w:val="003954EE"/>
    <w:rsid w:val="003A693D"/>
    <w:rsid w:val="003E7CE2"/>
    <w:rsid w:val="004459AA"/>
    <w:rsid w:val="0045327F"/>
    <w:rsid w:val="004641A6"/>
    <w:rsid w:val="00476F2F"/>
    <w:rsid w:val="00477089"/>
    <w:rsid w:val="00481A5A"/>
    <w:rsid w:val="00483C08"/>
    <w:rsid w:val="004A0C78"/>
    <w:rsid w:val="004A2960"/>
    <w:rsid w:val="004A38B4"/>
    <w:rsid w:val="004C6F3B"/>
    <w:rsid w:val="004E1E90"/>
    <w:rsid w:val="004F4BE0"/>
    <w:rsid w:val="00520AD8"/>
    <w:rsid w:val="00524E38"/>
    <w:rsid w:val="00534F2D"/>
    <w:rsid w:val="0054272E"/>
    <w:rsid w:val="00543099"/>
    <w:rsid w:val="00543FF2"/>
    <w:rsid w:val="00557BE3"/>
    <w:rsid w:val="00591548"/>
    <w:rsid w:val="005A38DA"/>
    <w:rsid w:val="005A5223"/>
    <w:rsid w:val="005A71C2"/>
    <w:rsid w:val="005B014E"/>
    <w:rsid w:val="005B2B17"/>
    <w:rsid w:val="005C3D97"/>
    <w:rsid w:val="005E175F"/>
    <w:rsid w:val="005E2DA8"/>
    <w:rsid w:val="005E5573"/>
    <w:rsid w:val="005F6DE8"/>
    <w:rsid w:val="00616440"/>
    <w:rsid w:val="00622C9A"/>
    <w:rsid w:val="006269EF"/>
    <w:rsid w:val="00634B67"/>
    <w:rsid w:val="00640B98"/>
    <w:rsid w:val="00647F2C"/>
    <w:rsid w:val="00653665"/>
    <w:rsid w:val="00657D8B"/>
    <w:rsid w:val="00664716"/>
    <w:rsid w:val="0067124E"/>
    <w:rsid w:val="00674F5E"/>
    <w:rsid w:val="006A4AB0"/>
    <w:rsid w:val="006D2BCD"/>
    <w:rsid w:val="00710A93"/>
    <w:rsid w:val="00712C45"/>
    <w:rsid w:val="0072198F"/>
    <w:rsid w:val="00727399"/>
    <w:rsid w:val="0077413E"/>
    <w:rsid w:val="00785431"/>
    <w:rsid w:val="00795A65"/>
    <w:rsid w:val="007A5944"/>
    <w:rsid w:val="007B49E0"/>
    <w:rsid w:val="007D7E90"/>
    <w:rsid w:val="007F5CDD"/>
    <w:rsid w:val="00824FA7"/>
    <w:rsid w:val="00895733"/>
    <w:rsid w:val="008A6BF2"/>
    <w:rsid w:val="008B0C48"/>
    <w:rsid w:val="008F3320"/>
    <w:rsid w:val="00910F1D"/>
    <w:rsid w:val="00917BDC"/>
    <w:rsid w:val="00927E02"/>
    <w:rsid w:val="00946A88"/>
    <w:rsid w:val="009545C7"/>
    <w:rsid w:val="009660AC"/>
    <w:rsid w:val="00973E52"/>
    <w:rsid w:val="009874F5"/>
    <w:rsid w:val="00991C52"/>
    <w:rsid w:val="009A61D3"/>
    <w:rsid w:val="009D5493"/>
    <w:rsid w:val="009F42D9"/>
    <w:rsid w:val="009F50FA"/>
    <w:rsid w:val="00A04260"/>
    <w:rsid w:val="00A126F5"/>
    <w:rsid w:val="00A23781"/>
    <w:rsid w:val="00A52755"/>
    <w:rsid w:val="00A712D8"/>
    <w:rsid w:val="00A750CE"/>
    <w:rsid w:val="00A87DEC"/>
    <w:rsid w:val="00A958E4"/>
    <w:rsid w:val="00AC1685"/>
    <w:rsid w:val="00AC5AB6"/>
    <w:rsid w:val="00AD486F"/>
    <w:rsid w:val="00AE5384"/>
    <w:rsid w:val="00AE5585"/>
    <w:rsid w:val="00B03492"/>
    <w:rsid w:val="00B3568E"/>
    <w:rsid w:val="00B43E9F"/>
    <w:rsid w:val="00B60B5F"/>
    <w:rsid w:val="00B86219"/>
    <w:rsid w:val="00B95E5A"/>
    <w:rsid w:val="00BA31B7"/>
    <w:rsid w:val="00C06093"/>
    <w:rsid w:val="00C159D6"/>
    <w:rsid w:val="00C56B08"/>
    <w:rsid w:val="00C90736"/>
    <w:rsid w:val="00C926D8"/>
    <w:rsid w:val="00CA2589"/>
    <w:rsid w:val="00CB36B9"/>
    <w:rsid w:val="00CD790A"/>
    <w:rsid w:val="00D0384D"/>
    <w:rsid w:val="00D85909"/>
    <w:rsid w:val="00DA6DEC"/>
    <w:rsid w:val="00DB1286"/>
    <w:rsid w:val="00DB68B9"/>
    <w:rsid w:val="00DD2C9A"/>
    <w:rsid w:val="00DE510A"/>
    <w:rsid w:val="00E168C1"/>
    <w:rsid w:val="00E21CF7"/>
    <w:rsid w:val="00E31A42"/>
    <w:rsid w:val="00E4357B"/>
    <w:rsid w:val="00E46A0D"/>
    <w:rsid w:val="00E74C43"/>
    <w:rsid w:val="00E77CB7"/>
    <w:rsid w:val="00E84919"/>
    <w:rsid w:val="00ED164C"/>
    <w:rsid w:val="00EE3BDE"/>
    <w:rsid w:val="00F00404"/>
    <w:rsid w:val="00F573FB"/>
    <w:rsid w:val="00F73391"/>
    <w:rsid w:val="00F833E1"/>
    <w:rsid w:val="00F8379A"/>
    <w:rsid w:val="00F904CD"/>
    <w:rsid w:val="00F9126A"/>
    <w:rsid w:val="00FA62E3"/>
    <w:rsid w:val="00FB6096"/>
    <w:rsid w:val="00FC4942"/>
    <w:rsid w:val="00FD3868"/>
    <w:rsid w:val="00FD79A3"/>
    <w:rsid w:val="00FE1D05"/>
    <w:rsid w:val="00FE38DE"/>
    <w:rsid w:val="00FF333D"/>
    <w:rsid w:val="00FF6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l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0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  <w:rsid w:val="00FB6096"/>
    <w:rPr>
      <w:sz w:val="24"/>
      <w:szCs w:val="24"/>
      <w:lang w:val="es-ES" w:eastAsia="es-ES"/>
    </w:rPr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  <w:rsid w:val="0054272E"/>
    <w:rPr>
      <w:sz w:val="24"/>
      <w:szCs w:val="24"/>
      <w:lang w:val="es-ES" w:eastAsia="es-ES"/>
    </w:rPr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  <w:rsid w:val="005E2DA8"/>
    <w:pPr>
      <w:ind w:left="284"/>
    </w:pPr>
    <w:rPr>
      <w:sz w:val="24"/>
      <w:lang w:eastAsia="es-ES"/>
    </w:rPr>
  </w:style>
  <w:style w:type="table" w:customStyle="1" w:styleId="NormalTable3">
    <w:name w:val="Normal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3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3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3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3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table" w:customStyle="1" w:styleId="Tab">
    <w:name w:val="Tab"/>
    <w:aliases w:val="a norma"/>
    <w:uiPriority w:val="99"/>
    <w:semiHidden/>
    <w:rsid w:val="00FB6096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0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  <w:rsid w:val="00FB6096"/>
    <w:rPr>
      <w:sz w:val="24"/>
      <w:szCs w:val="24"/>
      <w:lang w:val="es-ES" w:eastAsia="es-ES"/>
    </w:rPr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  <w:rsid w:val="0054272E"/>
    <w:rPr>
      <w:sz w:val="24"/>
      <w:szCs w:val="24"/>
      <w:lang w:val="es-ES" w:eastAsia="es-ES"/>
    </w:rPr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  <w:rsid w:val="005E2DA8"/>
    <w:pPr>
      <w:ind w:left="284"/>
    </w:pPr>
    <w:rPr>
      <w:sz w:val="24"/>
      <w:lang w:eastAsia="es-ES"/>
    </w:rPr>
  </w:style>
  <w:style w:type="table" w:customStyle="1" w:styleId="NormalTable3">
    <w:name w:val="Normal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3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3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3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3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table" w:customStyle="1" w:styleId="Tab">
    <w:name w:val="Tab"/>
    <w:aliases w:val="a norma"/>
    <w:uiPriority w:val="99"/>
    <w:semiHidden/>
    <w:rsid w:val="00FB6096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1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67251-6056-413A-8EB6-E03BF12C7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163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 Pegorin</dc:creator>
  <cp:lastModifiedBy>Franco Pegorin</cp:lastModifiedBy>
  <cp:revision>9</cp:revision>
  <cp:lastPrinted>2015-12-28T16:54:00Z</cp:lastPrinted>
  <dcterms:created xsi:type="dcterms:W3CDTF">2024-05-09T11:57:00Z</dcterms:created>
  <dcterms:modified xsi:type="dcterms:W3CDTF">2024-11-13T11:53:00Z</dcterms:modified>
</cp:coreProperties>
</file>