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  <w:bookmarkStart w:id="0" w:name="_GoBack"/>
      <w:bookmarkEnd w:id="0"/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202</w:t>
      </w:r>
      <w:r w:rsidR="00544609">
        <w:rPr>
          <w:b/>
          <w:lang w:val="es-MX"/>
        </w:rPr>
        <w:t>4</w:t>
      </w:r>
      <w:r w:rsidR="00544609">
        <w:rPr>
          <w:b/>
          <w:lang w:val="es-MX"/>
        </w:rPr>
        <w:tab/>
      </w:r>
      <w:r w:rsidR="004D5A1B">
        <w:rPr>
          <w:b/>
          <w:lang w:val="es-MX"/>
        </w:rPr>
        <w:t xml:space="preserve">                                                 Trimestre:</w:t>
      </w:r>
      <w:r w:rsidR="000708ED">
        <w:rPr>
          <w:b/>
          <w:lang w:val="es-MX"/>
        </w:rPr>
        <w:t xml:space="preserve"> </w:t>
      </w:r>
      <w:r w:rsidR="00921A97">
        <w:rPr>
          <w:b/>
          <w:lang w:val="es-MX"/>
        </w:rPr>
        <w:t>CUARTO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CA2C5B" w:rsidRDefault="00CA2C5B" w:rsidP="00CA2C5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</w:t>
      </w:r>
      <w:r w:rsidRPr="0016323C">
        <w:t>o</w:t>
      </w:r>
      <w:r w:rsidRPr="0016323C">
        <w:t>der Ejecutivo.</w:t>
      </w:r>
      <w:r>
        <w:t xml:space="preserve"> </w:t>
      </w:r>
    </w:p>
    <w:p w:rsidR="00544609" w:rsidRDefault="00544609" w:rsidP="00CA2C5B">
      <w:pPr>
        <w:spacing w:line="360" w:lineRule="auto"/>
        <w:jc w:val="both"/>
      </w:pPr>
      <w:r>
        <w:t>A su vez, en lo que respecta a los gastos corrientes es de esperar que lo ejecutado supere lo presupuestado teniendo en cuenta que las premisas utilizadas el año p</w:t>
      </w:r>
      <w:r>
        <w:t>a</w:t>
      </w:r>
      <w:r>
        <w:t xml:space="preserve">sado para realizar la programación financiera no contemplaban la devaluación e inflación sufrida a fines del año pasado y principios de éste. </w:t>
      </w:r>
    </w:p>
    <w:p w:rsidR="00544609" w:rsidRDefault="00544609" w:rsidP="004D5A1B">
      <w:pPr>
        <w:jc w:val="both"/>
      </w:pPr>
    </w:p>
    <w:p w:rsidR="00823764" w:rsidRDefault="00823764" w:rsidP="004D5A1B">
      <w:pPr>
        <w:jc w:val="both"/>
      </w:pPr>
    </w:p>
    <w:p w:rsidR="00823764" w:rsidRDefault="00823764" w:rsidP="004D5A1B">
      <w:pPr>
        <w:jc w:val="both"/>
      </w:pPr>
    </w:p>
    <w:p w:rsidR="00823764" w:rsidRPr="00544609" w:rsidRDefault="00823764" w:rsidP="004D5A1B">
      <w:pPr>
        <w:jc w:val="both"/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CA2C5B">
        <w:rPr>
          <w:rFonts w:ascii="Arial" w:hAnsi="Arial" w:cs="Arial"/>
          <w:b/>
          <w:bCs/>
          <w:sz w:val="16"/>
          <w:szCs w:val="16"/>
        </w:rPr>
        <w:t xml:space="preserve"> </w:t>
      </w:r>
      <w:r w:rsidR="00921A97">
        <w:rPr>
          <w:rFonts w:ascii="Arial" w:hAnsi="Arial" w:cs="Arial"/>
          <w:b/>
          <w:bCs/>
          <w:sz w:val="16"/>
          <w:szCs w:val="16"/>
        </w:rPr>
        <w:t>Febrero 2025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97176A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C7AEAD3" wp14:editId="528F79E4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4CB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0D74"/>
    <w:rsid w:val="0039342B"/>
    <w:rsid w:val="003A7C1A"/>
    <w:rsid w:val="003B1772"/>
    <w:rsid w:val="003B1844"/>
    <w:rsid w:val="003C38F6"/>
    <w:rsid w:val="003D451E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44609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3764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21A97"/>
    <w:rsid w:val="00962E3D"/>
    <w:rsid w:val="0097176A"/>
    <w:rsid w:val="0098086C"/>
    <w:rsid w:val="009C16AF"/>
    <w:rsid w:val="009D2163"/>
    <w:rsid w:val="00A26398"/>
    <w:rsid w:val="00A62F30"/>
    <w:rsid w:val="00A7531C"/>
    <w:rsid w:val="00A75F92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A2C5B"/>
    <w:rsid w:val="00CE7C91"/>
    <w:rsid w:val="00D0073D"/>
    <w:rsid w:val="00D1663B"/>
    <w:rsid w:val="00D374DE"/>
    <w:rsid w:val="00D44276"/>
    <w:rsid w:val="00D61A1A"/>
    <w:rsid w:val="00D95EDE"/>
    <w:rsid w:val="00DA5BB2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2025-02-28T13:29:00Z</cp:lastPrinted>
  <dcterms:created xsi:type="dcterms:W3CDTF">2025-02-07T14:13:00Z</dcterms:created>
  <dcterms:modified xsi:type="dcterms:W3CDTF">2025-02-28T13:29:00Z</dcterms:modified>
</cp:coreProperties>
</file>