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b/>
          <w:highlight w:val="none"/>
          <w:lang w:val="es-MX"/>
        </w:rPr>
      </w:pPr>
      <w:r>
        <w:rPr>
          <w:b/>
          <w:highlight w:val="none"/>
          <w:lang w:val="es-MX"/>
        </w:rPr>
        <w:t>ACUERDO N° 3949</w:t>
      </w:r>
    </w:p>
    <w:p>
      <w:pPr>
        <w:rPr>
          <w:b/>
          <w:highlight w:val="none"/>
          <w:lang w:val="es-AR"/>
        </w:rPr>
      </w:pPr>
      <w:r>
        <w:rPr>
          <w:b/>
          <w:highlight w:val="none"/>
          <w:lang w:val="es-AR"/>
        </w:rPr>
        <w:t>A</w:t>
      </w:r>
      <w:r>
        <w:rPr>
          <w:b/>
          <w:highlight w:val="none"/>
          <w:lang w:val="es-MX"/>
        </w:rPr>
        <w:t>NEXO 30: ART. 5 Inc d)</w:t>
      </w:r>
    </w:p>
    <w:p>
      <w:pPr>
        <w:rPr>
          <w:b/>
          <w:highlight w:val="none"/>
          <w:lang w:val="es-MX"/>
        </w:rPr>
      </w:pPr>
      <w:r>
        <w:rPr>
          <w:i/>
          <w:iCs/>
          <w:highlight w:val="none"/>
        </w:rPr>
        <w:t>Medidas tomadas para la corrección de desvíos.</w:t>
      </w:r>
    </w:p>
    <w:p>
      <w:pPr>
        <w:pBdr>
          <w:top w:val="single" w:color="auto" w:sz="4" w:space="1"/>
          <w:left w:val="single" w:color="auto" w:sz="4" w:space="4"/>
          <w:bottom w:val="single" w:color="auto" w:sz="4" w:space="1"/>
          <w:right w:val="single" w:color="auto" w:sz="4" w:space="4"/>
        </w:pBdr>
        <w:jc w:val="both"/>
        <w:rPr>
          <w:b/>
          <w:highlight w:val="none"/>
          <w:lang w:val="es-MX"/>
        </w:rPr>
      </w:pPr>
      <w:r>
        <w:rPr>
          <w:b/>
          <w:highlight w:val="none"/>
          <w:lang w:val="es-MX"/>
        </w:rPr>
        <w:t>Repartición/Organismo:   Poder Judicial de Mendoza</w:t>
      </w:r>
    </w:p>
    <w:p>
      <w:pPr>
        <w:pBdr>
          <w:top w:val="single" w:color="auto" w:sz="4" w:space="1"/>
          <w:left w:val="single" w:color="auto" w:sz="4" w:space="4"/>
          <w:bottom w:val="single" w:color="auto" w:sz="4" w:space="1"/>
          <w:right w:val="single" w:color="auto" w:sz="4" w:space="4"/>
        </w:pBdr>
        <w:jc w:val="both"/>
        <w:rPr>
          <w:b/>
          <w:highlight w:val="none"/>
          <w:lang w:val="es-MX"/>
        </w:rPr>
      </w:pPr>
      <w:r>
        <w:rPr>
          <w:b/>
          <w:highlight w:val="none"/>
          <w:lang w:val="es-MX"/>
        </w:rPr>
        <w:t>Nomenclador:    Carácter 01; Jurisdicción 02, UO 02</w:t>
      </w:r>
    </w:p>
    <w:p>
      <w:pPr>
        <w:pBdr>
          <w:top w:val="single" w:color="auto" w:sz="4" w:space="1"/>
          <w:left w:val="single" w:color="auto" w:sz="4" w:space="4"/>
          <w:bottom w:val="single" w:color="auto" w:sz="4" w:space="1"/>
          <w:right w:val="single" w:color="auto" w:sz="4" w:space="4"/>
        </w:pBdr>
        <w:jc w:val="both"/>
        <w:rPr>
          <w:highlight w:val="none"/>
          <w:lang w:val="en-US"/>
        </w:rPr>
      </w:pPr>
      <w:r>
        <w:rPr>
          <w:b/>
          <w:highlight w:val="none"/>
          <w:lang w:val="es-MX"/>
        </w:rPr>
        <w:t>Ejercicio:   2.0</w:t>
      </w:r>
      <w:r>
        <w:rPr>
          <w:b/>
          <w:highlight w:val="none"/>
          <w:lang w:val="es-AR"/>
        </w:rPr>
        <w:t>24</w:t>
      </w:r>
      <w:r>
        <w:rPr>
          <w:b/>
          <w:highlight w:val="none"/>
          <w:lang w:val="es-MX"/>
        </w:rPr>
        <w:t xml:space="preserve">                                                Trimestre: </w:t>
      </w:r>
      <w:r>
        <w:rPr>
          <w:b/>
          <w:highlight w:val="none"/>
          <w:lang w:val="es-AR"/>
        </w:rPr>
        <w:t>CUARTO</w:t>
      </w:r>
    </w:p>
    <w:p>
      <w:pPr>
        <w:autoSpaceDE w:val="0"/>
        <w:autoSpaceDN w:val="0"/>
        <w:adjustRightInd w:val="0"/>
        <w:spacing w:line="360" w:lineRule="auto"/>
        <w:jc w:val="both"/>
        <w:rPr>
          <w:rFonts w:hint="default" w:ascii="Times New Roman" w:hAnsi="Times New Roman" w:cs="Times New Roman"/>
          <w:b/>
          <w:sz w:val="24"/>
          <w:szCs w:val="24"/>
          <w:highlight w:val="none"/>
        </w:rPr>
      </w:pPr>
      <w:r>
        <w:rPr>
          <w:rFonts w:hint="default" w:ascii="Times New Roman" w:hAnsi="Times New Roman" w:cs="Times New Roman"/>
          <w:b/>
          <w:sz w:val="24"/>
          <w:szCs w:val="24"/>
          <w:highlight w:val="none"/>
        </w:rPr>
        <w:t xml:space="preserve">Información Artículo  27 Ley 7.314 y 5° inc d) Acuerdo 3949 y su modifc. 4.559 – Desvíos: </w:t>
      </w:r>
    </w:p>
    <w:p>
      <w:pPr>
        <w:autoSpaceDE w:val="0"/>
        <w:autoSpaceDN w:val="0"/>
        <w:adjustRightInd w:val="0"/>
        <w:spacing w:line="360" w:lineRule="auto"/>
        <w:jc w:val="both"/>
        <w:rPr>
          <w:rFonts w:hint="default" w:ascii="Times New Roman" w:hAnsi="Times New Roman" w:cs="Times New Roman"/>
          <w:sz w:val="24"/>
          <w:szCs w:val="24"/>
          <w:highlight w:val="none"/>
          <w:lang w:val="es-AR"/>
        </w:rPr>
      </w:pPr>
      <w:r>
        <w:rPr>
          <w:rFonts w:hint="default" w:ascii="Times New Roman" w:hAnsi="Times New Roman" w:cs="Times New Roman"/>
          <w:bCs w:val="0"/>
          <w:sz w:val="24"/>
          <w:szCs w:val="24"/>
          <w:highlight w:val="none"/>
          <w:lang w:val="es-AR"/>
        </w:rPr>
        <w:t>R</w:t>
      </w:r>
      <w:r>
        <w:rPr>
          <w:rFonts w:hint="default" w:ascii="Times New Roman" w:hAnsi="Times New Roman" w:cs="Times New Roman"/>
          <w:sz w:val="24"/>
          <w:szCs w:val="24"/>
          <w:highlight w:val="none"/>
          <w:lang w:val="es-AR"/>
        </w:rPr>
        <w:t>especto de la recaudación de los recursos propios de la Unidad Organizativa:</w:t>
      </w:r>
    </w:p>
    <w:p>
      <w:pPr>
        <w:spacing w:line="360" w:lineRule="auto"/>
        <w:jc w:val="both"/>
        <w:rPr>
          <w:rFonts w:hint="default" w:ascii="Times New Roman" w:hAnsi="Times New Roman" w:cs="Times New Roman"/>
          <w:sz w:val="24"/>
          <w:szCs w:val="24"/>
          <w:highlight w:val="none"/>
          <w:lang w:val="es-AR"/>
        </w:rPr>
      </w:pPr>
      <w:r>
        <w:rPr>
          <w:rFonts w:hint="default" w:ascii="Times New Roman" w:hAnsi="Times New Roman" w:cs="Times New Roman"/>
          <w:sz w:val="24"/>
          <w:szCs w:val="24"/>
          <w:highlight w:val="none"/>
          <w:lang w:val="es-AR"/>
        </w:rPr>
        <w:t>- La mayor recaudación que se expone en el cuadro Anexo 3, es consecuencia de un aumento en lo recaudado tanto en concepto Tasa de Justicia como en lo percibido los  Depósitos Judiciales, el cual se coloca con una herramienta financiera (plazo fijo) en el agente financiero del Estado Provincial que es el Banco de la Nación Argentina</w:t>
      </w:r>
    </w:p>
    <w:p>
      <w:pPr>
        <w:spacing w:line="360" w:lineRule="auto"/>
        <w:jc w:val="both"/>
        <w:rPr>
          <w:rFonts w:hint="default" w:ascii="Times New Roman" w:hAnsi="Times New Roman" w:cs="Times New Roman"/>
          <w:sz w:val="24"/>
          <w:szCs w:val="24"/>
          <w:highlight w:val="none"/>
          <w:lang w:val="es-AR"/>
        </w:rPr>
      </w:pPr>
      <w:r>
        <w:rPr>
          <w:rFonts w:hint="default" w:ascii="Times New Roman" w:hAnsi="Times New Roman" w:cs="Times New Roman"/>
          <w:sz w:val="24"/>
          <w:szCs w:val="24"/>
          <w:highlight w:val="none"/>
          <w:lang w:val="es-AR"/>
        </w:rPr>
        <w:t>- El laboratorio de genética forense, recauda en la medida de sus prestaciones a terceros dentro del Servicio Judicial, con lo cual no puede preverse la tendencia aunque ha incrementado respecto del trimestre anterior, debido a que se actualizó el valor de las tasas retributivas dispuesta por Decreto n°1284/2024 del Poder Ejecutivo.</w:t>
      </w:r>
    </w:p>
    <w:p>
      <w:pPr>
        <w:spacing w:line="360" w:lineRule="auto"/>
        <w:jc w:val="both"/>
        <w:rPr>
          <w:rFonts w:hint="default" w:ascii="Times New Roman" w:hAnsi="Times New Roman" w:cs="Times New Roman"/>
          <w:sz w:val="24"/>
          <w:szCs w:val="24"/>
          <w:highlight w:val="none"/>
          <w:lang w:val="es-AR"/>
        </w:rPr>
      </w:pPr>
      <w:r>
        <w:rPr>
          <w:rFonts w:hint="default" w:cs="Times New Roman"/>
          <w:sz w:val="24"/>
          <w:szCs w:val="24"/>
          <w:highlight w:val="none"/>
          <w:lang w:val="es-AR"/>
        </w:rPr>
        <w:t xml:space="preserve">- </w:t>
      </w:r>
      <w:bookmarkStart w:id="0" w:name="_GoBack"/>
      <w:bookmarkEnd w:id="0"/>
      <w:r>
        <w:rPr>
          <w:rFonts w:hint="default" w:ascii="Times New Roman" w:hAnsi="Times New Roman" w:cs="Times New Roman"/>
          <w:sz w:val="24"/>
          <w:szCs w:val="24"/>
          <w:highlight w:val="none"/>
          <w:lang w:val="es-AR"/>
        </w:rPr>
        <w:t>El costo de los Bienes de Capital, desde el Primer Trimestre, también es financiado con la Recaudación del Financiamiento propio 368 -Depósitos Judiciales-, cuyos recursos son afectados al destino específico del Cuerpo Médico Forense, Registro Provincial de Huellas Genéticas, UDAPIF (Unidad de apoyo para la investigación fiscal), Morgues Judiciales e Infraestructura Edilicia y Tecnológica del Ministerio Público Fiscal estima que se regularizará la situación, proyectando además  los recursos afectables.</w:t>
      </w:r>
    </w:p>
    <w:p>
      <w:pPr>
        <w:tabs>
          <w:tab w:val="left" w:pos="4680"/>
        </w:tabs>
        <w:spacing w:line="360" w:lineRule="auto"/>
        <w:jc w:val="both"/>
        <w:rPr>
          <w:rFonts w:hint="default" w:ascii="Times New Roman" w:hAnsi="Times New Roman" w:cs="Times New Roman"/>
          <w:b/>
          <w:sz w:val="24"/>
          <w:szCs w:val="24"/>
          <w:highlight w:val="none"/>
        </w:rPr>
      </w:pPr>
      <w:r>
        <w:rPr>
          <w:rFonts w:hint="default" w:ascii="Times New Roman" w:hAnsi="Times New Roman" w:cs="Times New Roman"/>
          <w:b/>
          <w:sz w:val="24"/>
          <w:szCs w:val="24"/>
          <w:highlight w:val="none"/>
        </w:rPr>
        <w:t xml:space="preserve">SERVICIO ADMINISTRATIVO FINANCIERO – MIN. PÚBLICO FISCAL- </w:t>
      </w:r>
    </w:p>
    <w:p>
      <w:pPr>
        <w:spacing w:line="276" w:lineRule="auto"/>
        <w:jc w:val="both"/>
        <w:rPr>
          <w:rFonts w:hint="default" w:ascii="Times New Roman" w:hAnsi="Times New Roman" w:cs="Times New Roman"/>
          <w:b/>
          <w:sz w:val="24"/>
          <w:szCs w:val="24"/>
          <w:highlight w:val="none"/>
          <w:lang w:val="en-US"/>
        </w:rPr>
      </w:pPr>
      <w:r>
        <w:rPr>
          <w:rFonts w:hint="default" w:ascii="Times New Roman" w:hAnsi="Times New Roman" w:cs="Times New Roman"/>
          <w:b/>
          <w:sz w:val="24"/>
          <w:szCs w:val="24"/>
          <w:highlight w:val="none"/>
        </w:rPr>
        <w:t xml:space="preserve">Mendoza, </w:t>
      </w:r>
      <w:r>
        <w:rPr>
          <w:rFonts w:hint="default" w:cs="Times New Roman"/>
          <w:b/>
          <w:sz w:val="24"/>
          <w:szCs w:val="24"/>
          <w:highlight w:val="none"/>
          <w:lang w:val="es-AR"/>
        </w:rPr>
        <w:t>Febrero 2025.-</w:t>
      </w:r>
    </w:p>
    <w:sectPr>
      <w:headerReference r:id="rId3" w:type="default"/>
      <w:footerReference r:id="rId4" w:type="default"/>
      <w:pgSz w:w="11907" w:h="16839"/>
      <w:pgMar w:top="1418" w:right="1701" w:bottom="1418" w:left="1701" w:header="567" w:footer="567"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ourier">
    <w:altName w:val="Courier New"/>
    <w:panose1 w:val="02070409020205020404"/>
    <w:charset w:val="00"/>
    <w:family w:val="moder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86"/>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auto"/>
    <w:pitch w:val="default"/>
    <w:sig w:usb0="E4002EFF" w:usb1="C200247B" w:usb2="00000009" w:usb3="00000000" w:csb0="200001FF" w:csb1="00000000"/>
  </w:font>
  <w:font w:name="Arial Narrow">
    <w:panose1 w:val="020B0606020202030204"/>
    <w:charset w:val="00"/>
    <w:family w:val="auto"/>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40" w:line="100" w:lineRule="exact"/>
      <w:rPr>
        <w:sz w:val="10"/>
        <w:szCs w:val="10"/>
      </w:rPr>
    </w:pPr>
  </w:p>
  <w:p>
    <w:pPr>
      <w:tabs>
        <w:tab w:val="right" w:pos="9069"/>
      </w:tabs>
      <w:suppressAutoHyphens/>
      <w:spacing w:line="312" w:lineRule="atLeast"/>
      <w:jc w:val="both"/>
      <w:rPr>
        <w:u w:val="double"/>
      </w:rPr>
    </w:pP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720"/>
        <w:tab w:val="clear" w:pos="4419"/>
        <w:tab w:val="clear" w:pos="8838"/>
      </w:tabs>
      <w:suppressAutoHyphens/>
      <w:spacing w:line="240" w:lineRule="auto"/>
    </w:pPr>
    <w:r>
      <w:rPr>
        <w:lang w:val="es-AR" w:eastAsia="es-AR"/>
      </w:rPr>
      <w:drawing>
        <wp:inline distT="0" distB="0" distL="0" distR="0">
          <wp:extent cx="1485900" cy="1009650"/>
          <wp:effectExtent l="0" t="0" r="0" b="0"/>
          <wp:docPr id="3" name="Imagen 3" descr="C:\Users\mcanosa\Pictures\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C:\Users\mcanosa\Pictures\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85900" cy="1009650"/>
                  </a:xfrm>
                  <a:prstGeom prst="rect">
                    <a:avLst/>
                  </a:prstGeom>
                  <a:noFill/>
                  <a:ln>
                    <a:noFill/>
                  </a:ln>
                  <a:effectLst/>
                </pic:spPr>
              </pic:pic>
            </a:graphicData>
          </a:graphic>
        </wp:inline>
      </w:drawing>
    </w:r>
    <w:r>
      <w:rPr>
        <w:lang w:val="es-AR" w:eastAsia="es-AR"/>
      </w:rPr>
      <mc:AlternateContent>
        <mc:Choice Requires="wps">
          <w:drawing>
            <wp:anchor distT="0" distB="0" distL="114300" distR="114300" simplePos="0" relativeHeight="251658240" behindDoc="1" locked="0" layoutInCell="1" allowOverlap="1">
              <wp:simplePos x="0" y="0"/>
              <wp:positionH relativeFrom="margin">
                <wp:posOffset>2171700</wp:posOffset>
              </wp:positionH>
              <wp:positionV relativeFrom="paragraph">
                <wp:posOffset>-45720</wp:posOffset>
              </wp:positionV>
              <wp:extent cx="1030605" cy="914400"/>
              <wp:effectExtent l="0" t="1905" r="0" b="0"/>
              <wp:wrapNone/>
              <wp:docPr id="1" name="Rectangle 1"/>
              <wp:cNvGraphicFramePr/>
              <a:graphic xmlns:a="http://schemas.openxmlformats.org/drawingml/2006/main">
                <a:graphicData uri="http://schemas.microsoft.com/office/word/2010/wordprocessingShape">
                  <wps:wsp>
                    <wps:cNvSpPr>
                      <a:spLocks noChangeArrowheads="1"/>
                    </wps:cNvSpPr>
                    <wps:spPr bwMode="auto">
                      <a:xfrm>
                        <a:off x="0" y="0"/>
                        <a:ext cx="1030605" cy="914400"/>
                      </a:xfrm>
                      <a:prstGeom prst="rect">
                        <a:avLst/>
                      </a:prstGeom>
                      <a:noFill/>
                      <a:ln>
                        <a:noFill/>
                      </a:ln>
                    </wps:spPr>
                    <wps:txbx>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wps:txbx>
                    <wps:bodyPr rot="0" vert="horz" wrap="square" lIns="0" tIns="0" rIns="0" bIns="0" anchor="t" anchorCtr="0" upright="1">
                      <a:noAutofit/>
                    </wps:bodyPr>
                  </wps:wsp>
                </a:graphicData>
              </a:graphic>
            </wp:anchor>
          </w:drawing>
        </mc:Choice>
        <mc:Fallback>
          <w:pict>
            <v:rect id="Rectangle 1" o:spid="_x0000_s1026" o:spt="1" style="position:absolute;left:0pt;margin-left:171pt;margin-top:-3.6pt;height:72pt;width:81.15pt;mso-position-horizontal-relative:margin;z-index:-251658240;mso-width-relative:page;mso-height-relative:page;" filled="f" stroked="f" coordsize="21600,21600" o:gfxdata="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4iboz2wAAAAoBAAAP&#10;AAAAAAAAAAEAIAAAACIAAABkcnMvZG93bnJldi54bWxQSwECFAAUAAAACACHTuJAYcJaaNwBAACt&#10;AwAADgAAAAAAAAABACAAAAAqAQAAZHJzL2Uyb0RvYy54bWxQSwUGAAAAAAYABgBZAQAAeAUAAAAA&#10;">
              <v:fill on="f" focussize="0,0"/>
              <v:stroke on="f"/>
              <v:imagedata o:title=""/>
              <o:lock v:ext="edit" aspectratio="f"/>
              <v:textbox inset="0mm,0mm,0mm,0mm">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documentProtection w:enforcement="0"/>
  <w:defaultTabStop w:val="708"/>
  <w:autoHyphenation/>
  <w:hyphenationZone w:val="425"/>
  <w:evenAndOddHeaders w:val="1"/>
  <w:drawingGridHorizontalSpacing w:val="237"/>
  <w:displayVerticalDrawingGridEvery w:val="2"/>
  <w:noPunctuationKerning w:val="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052789C"/>
    <w:rsid w:val="00050A31"/>
    <w:rsid w:val="000623CE"/>
    <w:rsid w:val="000716D2"/>
    <w:rsid w:val="00071AAB"/>
    <w:rsid w:val="00087C17"/>
    <w:rsid w:val="000B76C4"/>
    <w:rsid w:val="000C5610"/>
    <w:rsid w:val="000E6552"/>
    <w:rsid w:val="000F3A4F"/>
    <w:rsid w:val="000F59AC"/>
    <w:rsid w:val="0010759B"/>
    <w:rsid w:val="00131A13"/>
    <w:rsid w:val="001364FE"/>
    <w:rsid w:val="001368DD"/>
    <w:rsid w:val="00137381"/>
    <w:rsid w:val="001440D3"/>
    <w:rsid w:val="00147DB3"/>
    <w:rsid w:val="00147F52"/>
    <w:rsid w:val="001507E7"/>
    <w:rsid w:val="001518A5"/>
    <w:rsid w:val="001520E1"/>
    <w:rsid w:val="00170095"/>
    <w:rsid w:val="00170E4F"/>
    <w:rsid w:val="001743F4"/>
    <w:rsid w:val="00182007"/>
    <w:rsid w:val="00187C33"/>
    <w:rsid w:val="001936B7"/>
    <w:rsid w:val="00196AB1"/>
    <w:rsid w:val="001A682B"/>
    <w:rsid w:val="00201333"/>
    <w:rsid w:val="002015FE"/>
    <w:rsid w:val="0020726D"/>
    <w:rsid w:val="00210FA7"/>
    <w:rsid w:val="00216417"/>
    <w:rsid w:val="0026631D"/>
    <w:rsid w:val="002C2F53"/>
    <w:rsid w:val="002C3CAB"/>
    <w:rsid w:val="002C3FD3"/>
    <w:rsid w:val="002E0CA7"/>
    <w:rsid w:val="002E10F4"/>
    <w:rsid w:val="00306376"/>
    <w:rsid w:val="0031503B"/>
    <w:rsid w:val="0033518C"/>
    <w:rsid w:val="003437C2"/>
    <w:rsid w:val="0035564A"/>
    <w:rsid w:val="00362644"/>
    <w:rsid w:val="0037122B"/>
    <w:rsid w:val="00377186"/>
    <w:rsid w:val="00395C5F"/>
    <w:rsid w:val="003A1C03"/>
    <w:rsid w:val="00414627"/>
    <w:rsid w:val="00425D63"/>
    <w:rsid w:val="004403E6"/>
    <w:rsid w:val="00444E15"/>
    <w:rsid w:val="004643D8"/>
    <w:rsid w:val="00466355"/>
    <w:rsid w:val="0049543A"/>
    <w:rsid w:val="00497C24"/>
    <w:rsid w:val="004B096B"/>
    <w:rsid w:val="004C43C6"/>
    <w:rsid w:val="004C7BA5"/>
    <w:rsid w:val="004E5B50"/>
    <w:rsid w:val="004E7338"/>
    <w:rsid w:val="004E7628"/>
    <w:rsid w:val="004F48F2"/>
    <w:rsid w:val="005149B1"/>
    <w:rsid w:val="005647F2"/>
    <w:rsid w:val="005662D1"/>
    <w:rsid w:val="00573A09"/>
    <w:rsid w:val="00581299"/>
    <w:rsid w:val="005A4526"/>
    <w:rsid w:val="005C1B16"/>
    <w:rsid w:val="005C55F1"/>
    <w:rsid w:val="005E53D0"/>
    <w:rsid w:val="006002EB"/>
    <w:rsid w:val="006128EF"/>
    <w:rsid w:val="006264B4"/>
    <w:rsid w:val="00643033"/>
    <w:rsid w:val="00644CC3"/>
    <w:rsid w:val="00652E4C"/>
    <w:rsid w:val="00661468"/>
    <w:rsid w:val="006649F0"/>
    <w:rsid w:val="0067128F"/>
    <w:rsid w:val="0067245D"/>
    <w:rsid w:val="0068470E"/>
    <w:rsid w:val="00691CE3"/>
    <w:rsid w:val="00695DCD"/>
    <w:rsid w:val="006A05CC"/>
    <w:rsid w:val="006A35A7"/>
    <w:rsid w:val="006B3067"/>
    <w:rsid w:val="006B5451"/>
    <w:rsid w:val="007152D7"/>
    <w:rsid w:val="00732A28"/>
    <w:rsid w:val="00746C14"/>
    <w:rsid w:val="007666CF"/>
    <w:rsid w:val="007709CC"/>
    <w:rsid w:val="007C2C59"/>
    <w:rsid w:val="00801F23"/>
    <w:rsid w:val="00834843"/>
    <w:rsid w:val="00837632"/>
    <w:rsid w:val="0085640F"/>
    <w:rsid w:val="008567AA"/>
    <w:rsid w:val="00892712"/>
    <w:rsid w:val="008A680A"/>
    <w:rsid w:val="008B0BB0"/>
    <w:rsid w:val="008B35A7"/>
    <w:rsid w:val="008E6C4B"/>
    <w:rsid w:val="008F18C0"/>
    <w:rsid w:val="008F1F0F"/>
    <w:rsid w:val="008F311E"/>
    <w:rsid w:val="008F4E35"/>
    <w:rsid w:val="00907648"/>
    <w:rsid w:val="00912FDD"/>
    <w:rsid w:val="00930FDE"/>
    <w:rsid w:val="00984C93"/>
    <w:rsid w:val="00987CE1"/>
    <w:rsid w:val="0099405C"/>
    <w:rsid w:val="009C16AF"/>
    <w:rsid w:val="009C600F"/>
    <w:rsid w:val="009D3723"/>
    <w:rsid w:val="009E00C1"/>
    <w:rsid w:val="009E04F2"/>
    <w:rsid w:val="00A03B7B"/>
    <w:rsid w:val="00A200C9"/>
    <w:rsid w:val="00A250D5"/>
    <w:rsid w:val="00A32F56"/>
    <w:rsid w:val="00A36028"/>
    <w:rsid w:val="00A91424"/>
    <w:rsid w:val="00A9613C"/>
    <w:rsid w:val="00AA2C77"/>
    <w:rsid w:val="00AC3FB9"/>
    <w:rsid w:val="00AC702A"/>
    <w:rsid w:val="00AD226F"/>
    <w:rsid w:val="00B021DA"/>
    <w:rsid w:val="00B13A52"/>
    <w:rsid w:val="00B222F8"/>
    <w:rsid w:val="00B24CF4"/>
    <w:rsid w:val="00B26993"/>
    <w:rsid w:val="00B4148F"/>
    <w:rsid w:val="00B4570C"/>
    <w:rsid w:val="00B5208C"/>
    <w:rsid w:val="00B635F2"/>
    <w:rsid w:val="00B74876"/>
    <w:rsid w:val="00B9047F"/>
    <w:rsid w:val="00BA1CC3"/>
    <w:rsid w:val="00BB7C2B"/>
    <w:rsid w:val="00BC1664"/>
    <w:rsid w:val="00BC2546"/>
    <w:rsid w:val="00BC43A4"/>
    <w:rsid w:val="00BC6A9F"/>
    <w:rsid w:val="00BD0E0C"/>
    <w:rsid w:val="00BF355C"/>
    <w:rsid w:val="00C05085"/>
    <w:rsid w:val="00C1593D"/>
    <w:rsid w:val="00C425C3"/>
    <w:rsid w:val="00C56C7E"/>
    <w:rsid w:val="00C74FCF"/>
    <w:rsid w:val="00C776A4"/>
    <w:rsid w:val="00CA2C6C"/>
    <w:rsid w:val="00CC0600"/>
    <w:rsid w:val="00CC78AC"/>
    <w:rsid w:val="00CF7953"/>
    <w:rsid w:val="00D0073D"/>
    <w:rsid w:val="00D07232"/>
    <w:rsid w:val="00D10245"/>
    <w:rsid w:val="00D21BDD"/>
    <w:rsid w:val="00D315F3"/>
    <w:rsid w:val="00D657FD"/>
    <w:rsid w:val="00D65F07"/>
    <w:rsid w:val="00D92BB7"/>
    <w:rsid w:val="00DB4184"/>
    <w:rsid w:val="00DB711A"/>
    <w:rsid w:val="00DC76D2"/>
    <w:rsid w:val="00DC7E74"/>
    <w:rsid w:val="00DD30ED"/>
    <w:rsid w:val="00E04673"/>
    <w:rsid w:val="00E27643"/>
    <w:rsid w:val="00E6417F"/>
    <w:rsid w:val="00E64C21"/>
    <w:rsid w:val="00EC24C6"/>
    <w:rsid w:val="00EC6200"/>
    <w:rsid w:val="00EE6894"/>
    <w:rsid w:val="00EF2933"/>
    <w:rsid w:val="00F05146"/>
    <w:rsid w:val="00F1115D"/>
    <w:rsid w:val="00F324FE"/>
    <w:rsid w:val="00F3513C"/>
    <w:rsid w:val="00F465C5"/>
    <w:rsid w:val="00F5180D"/>
    <w:rsid w:val="00F51B21"/>
    <w:rsid w:val="00F51D87"/>
    <w:rsid w:val="00F64977"/>
    <w:rsid w:val="00F8455C"/>
    <w:rsid w:val="00F9306C"/>
    <w:rsid w:val="00FC4A43"/>
    <w:rsid w:val="00FE579E"/>
    <w:rsid w:val="00FF2AFE"/>
    <w:rsid w:val="0F630BCF"/>
    <w:rsid w:val="0FB04737"/>
    <w:rsid w:val="164C274C"/>
    <w:rsid w:val="1E5A15D9"/>
    <w:rsid w:val="2C9441AC"/>
    <w:rsid w:val="2FE1667F"/>
    <w:rsid w:val="3DC06D06"/>
    <w:rsid w:val="47DA400B"/>
    <w:rsid w:val="4AD22146"/>
    <w:rsid w:val="4E7A5859"/>
    <w:rsid w:val="4ECD228A"/>
    <w:rsid w:val="500E4107"/>
    <w:rsid w:val="53187424"/>
    <w:rsid w:val="58876DDA"/>
    <w:rsid w:val="59006E84"/>
    <w:rsid w:val="5D1F541B"/>
    <w:rsid w:val="604117C0"/>
    <w:rsid w:val="60DD54B3"/>
    <w:rsid w:val="678B1ACA"/>
    <w:rsid w:val="678C739C"/>
    <w:rsid w:val="695D0887"/>
    <w:rsid w:val="7052789C"/>
    <w:rsid w:val="7135470F"/>
    <w:rsid w:val="74252D60"/>
    <w:rsid w:val="77943F12"/>
    <w:rsid w:val="7B8C30A4"/>
  </w:rsids>
  <m:mathPr>
    <m:lMargin m:val="0"/>
    <m:mathFont m:val="Cambria Math"/>
    <m:rMargin m:val="0"/>
    <m:wrapIndent m:val="1440"/>
    <m:brkBin m:val="before"/>
    <m:brkBinSub m:val="--"/>
    <m:defJc m:val="centerGroup"/>
    <m:intLim m:val="subSup"/>
    <m:naryLim m:val="undOvr"/>
    <m:smallFrac m:val="0"/>
    <m:dispDef/>
  </m:mathPr>
  <w:themeFontLang w:val="es-A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atentStyles>
  <w:style w:type="paragraph" w:default="1" w:styleId="1">
    <w:name w:val="Normal"/>
    <w:qFormat/>
    <w:uiPriority w:val="0"/>
    <w:pPr>
      <w:spacing w:after="200" w:line="240" w:lineRule="atLeast"/>
      <w:jc w:val="center"/>
    </w:pPr>
    <w:rPr>
      <w:rFonts w:ascii="Times New Roman" w:hAnsi="Times New Roman" w:eastAsia="Times New Roman" w:cs="Times New Roman"/>
      <w:bCs/>
      <w:spacing w:val="-3"/>
      <w:sz w:val="24"/>
      <w:szCs w:val="24"/>
      <w:lang w:val="es-ES" w:eastAsia="es-ES" w:bidi="ar-SA"/>
    </w:rPr>
  </w:style>
  <w:style w:type="paragraph" w:styleId="2">
    <w:name w:val="heading 1"/>
    <w:basedOn w:val="1"/>
    <w:next w:val="1"/>
    <w:qFormat/>
    <w:uiPriority w:val="0"/>
    <w:pPr>
      <w:keepNext/>
      <w:suppressAutoHyphens/>
      <w:spacing w:line="312" w:lineRule="atLeast"/>
      <w:outlineLvl w:val="0"/>
    </w:pPr>
    <w:rPr>
      <w:rFonts w:ascii="Courier" w:hAnsi="Courier"/>
      <w:b/>
      <w:bCs w:val="0"/>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8"/>
    <w:unhideWhenUsed/>
    <w:qFormat/>
    <w:uiPriority w:val="99"/>
    <w:pPr>
      <w:spacing w:line="240" w:lineRule="auto"/>
    </w:pPr>
    <w:rPr>
      <w:rFonts w:ascii="Tahoma" w:hAnsi="Tahoma" w:cs="Tahoma"/>
      <w:sz w:val="16"/>
      <w:szCs w:val="16"/>
    </w:rPr>
  </w:style>
  <w:style w:type="paragraph" w:styleId="4">
    <w:name w:val="header"/>
    <w:basedOn w:val="1"/>
    <w:qFormat/>
    <w:uiPriority w:val="0"/>
    <w:pPr>
      <w:tabs>
        <w:tab w:val="center" w:pos="4419"/>
        <w:tab w:val="right" w:pos="8838"/>
      </w:tabs>
    </w:pPr>
  </w:style>
  <w:style w:type="paragraph" w:styleId="5">
    <w:name w:val="footer"/>
    <w:basedOn w:val="1"/>
    <w:qFormat/>
    <w:uiPriority w:val="0"/>
    <w:pPr>
      <w:tabs>
        <w:tab w:val="center" w:pos="4419"/>
        <w:tab w:val="right" w:pos="8838"/>
      </w:tabs>
    </w:pPr>
  </w:style>
  <w:style w:type="character" w:customStyle="1" w:styleId="8">
    <w:name w:val="Texto de globo Car"/>
    <w:link w:val="3"/>
    <w:semiHidden/>
    <w:uiPriority w:val="99"/>
    <w:rPr>
      <w:rFonts w:ascii="Tahoma" w:hAnsi="Tahoma" w:cs="Tahoma"/>
      <w:bCs/>
      <w:spacing w:val="-3"/>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1E8A6C-2EB1-4DEB-A461-03B665670677}">
  <ds:schemaRefs/>
</ds:datastoreItem>
</file>

<file path=docProps/app.xml><?xml version="1.0" encoding="utf-8"?>
<Properties xmlns="http://schemas.openxmlformats.org/officeDocument/2006/extended-properties" xmlns:vt="http://schemas.openxmlformats.org/officeDocument/2006/docPropsVTypes">
  <Template>Normal.dotm</Template>
  <Company>Ministerio Publico</Company>
  <Pages>1</Pages>
  <Words>279</Words>
  <Characters>1540</Characters>
  <Lines>12</Lines>
  <Paragraphs>3</Paragraphs>
  <ScaleCrop>false</ScaleCrop>
  <LinksUpToDate>false</LinksUpToDate>
  <CharactersWithSpaces>1816</CharactersWithSpaces>
  <Application>WPS Office_..._F1E327BC-269C-435d-A152-05C5408002CA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2024-08-14T17:18:00Z</dcterms:created>
  <dc:creator>Sonia Colobini</dc:creator>
  <cp:lastModifiedBy>Administrador</cp:lastModifiedBy>
  <cp:lastPrinted>2023-05-17T12:25:00Z</cp:lastPrinted>
  <dcterms:modified xsi:type="dcterms:W3CDTF">2025-02-17T15:19:19Z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vt:lpwstr>
  </property>
</Properties>
</file>