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99392F">
        <w:rPr>
          <w:rFonts w:ascii="Verdana" w:hAnsi="Verdana"/>
          <w:sz w:val="28"/>
        </w:rPr>
        <w:t>4</w:t>
      </w:r>
      <w:bookmarkStart w:id="0" w:name="_GoBack"/>
      <w:bookmarkEnd w:id="0"/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3D2345">
        <w:rPr>
          <w:rFonts w:ascii="Verdana" w:hAnsi="Verdana"/>
          <w:b/>
        </w:rPr>
        <w:t>4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771970">
        <w:rPr>
          <w:rFonts w:ascii="Verdana" w:hAnsi="Verdana"/>
        </w:rPr>
        <w:t>la formulación d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234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71970"/>
    <w:rsid w:val="007B0E39"/>
    <w:rsid w:val="00823C29"/>
    <w:rsid w:val="00841403"/>
    <w:rsid w:val="0084705F"/>
    <w:rsid w:val="00892E2F"/>
    <w:rsid w:val="008A0E96"/>
    <w:rsid w:val="008E192A"/>
    <w:rsid w:val="008E31BD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9392F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750AA"/>
    <w:rsid w:val="00DB665B"/>
    <w:rsid w:val="00DC053A"/>
    <w:rsid w:val="00DD6830"/>
    <w:rsid w:val="00E05E20"/>
    <w:rsid w:val="00E3680E"/>
    <w:rsid w:val="00E44A5B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6A72A-C9DC-4215-BBD2-24606783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10</cp:revision>
  <cp:lastPrinted>2018-11-14T14:21:00Z</cp:lastPrinted>
  <dcterms:created xsi:type="dcterms:W3CDTF">2021-05-28T19:20:00Z</dcterms:created>
  <dcterms:modified xsi:type="dcterms:W3CDTF">2025-02-26T22:20:00Z</dcterms:modified>
</cp:coreProperties>
</file>