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4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B52B3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BF51B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66666C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B52B3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 w:rsidR="00BF51B4">
        <w:t>Sin movimientos</w:t>
      </w:r>
    </w:p>
    <w:p w:rsidR="00937C3A" w:rsidRDefault="00937C3A" w:rsidP="00937C3A">
      <w:pPr>
        <w:pStyle w:val="Norma"/>
        <w:jc w:val="both"/>
      </w:pPr>
    </w:p>
    <w:p w:rsidR="00832F48" w:rsidRPr="00832F48" w:rsidRDefault="00937C3A" w:rsidP="00832F48">
      <w:pPr>
        <w:pStyle w:val="Norma"/>
        <w:numPr>
          <w:ilvl w:val="0"/>
          <w:numId w:val="6"/>
        </w:numPr>
        <w:jc w:val="both"/>
      </w:pPr>
      <w:r w:rsidRPr="00E811F3">
        <w:rPr>
          <w:b/>
          <w:u w:val="single"/>
        </w:rPr>
        <w:t>Gastos Corrientes</w:t>
      </w:r>
      <w:r w:rsidRPr="00E811F3">
        <w:rPr>
          <w:b/>
        </w:rPr>
        <w:t xml:space="preserve">: </w:t>
      </w:r>
      <w:r w:rsidR="00BF51B4">
        <w:t>Sin movimientos</w:t>
      </w:r>
    </w:p>
    <w:p w:rsidR="00937C3A" w:rsidRDefault="00937C3A" w:rsidP="00F27AA3">
      <w:pPr>
        <w:pStyle w:val="Norma4"/>
      </w:pPr>
    </w:p>
    <w:p w:rsidR="00937C3A" w:rsidRPr="00481B92" w:rsidRDefault="00937C3A" w:rsidP="00937C3A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 w:rsidR="00BF51B4">
        <w:t>Sin movimientos</w:t>
      </w:r>
    </w:p>
    <w:p w:rsidR="00937C3A" w:rsidRPr="00481B92" w:rsidRDefault="00937C3A" w:rsidP="00937C3A">
      <w:pPr>
        <w:pStyle w:val="Prrafodelista"/>
        <w:rPr>
          <w:u w:val="single"/>
        </w:rPr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 w:rsidR="00BF51B4">
        <w:t>Sin movimientos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  <w:bookmarkStart w:id="0" w:name="_GoBack"/>
      <w:bookmarkEnd w:id="0"/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34" w:rsidRDefault="00B52B34">
      <w:pPr>
        <w:pStyle w:val="Norma"/>
      </w:pPr>
      <w:r>
        <w:separator/>
      </w:r>
    </w:p>
  </w:endnote>
  <w:endnote w:type="continuationSeparator" w:id="0">
    <w:p w:rsidR="00B52B34" w:rsidRDefault="00B52B34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B52B34" w:rsidRDefault="00B52B34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34" w:rsidRDefault="00B52B34">
      <w:pPr>
        <w:pStyle w:val="Norma"/>
      </w:pPr>
      <w:r>
        <w:separator/>
      </w:r>
    </w:p>
  </w:footnote>
  <w:footnote w:type="continuationSeparator" w:id="0">
    <w:p w:rsidR="00B52B34" w:rsidRDefault="00B52B34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Pr="00543099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832A1"/>
    <w:rsid w:val="00086E8C"/>
    <w:rsid w:val="00090119"/>
    <w:rsid w:val="000C2372"/>
    <w:rsid w:val="000D4D7F"/>
    <w:rsid w:val="000E41D6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CC2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028D9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6666C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52B34"/>
    <w:rsid w:val="00B60B5F"/>
    <w:rsid w:val="00B72F5E"/>
    <w:rsid w:val="00B86219"/>
    <w:rsid w:val="00B95E5A"/>
    <w:rsid w:val="00BA31B7"/>
    <w:rsid w:val="00BF51B4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4357B"/>
    <w:rsid w:val="00E46A0D"/>
    <w:rsid w:val="00E77CB7"/>
    <w:rsid w:val="00E84919"/>
    <w:rsid w:val="00EC4EF5"/>
    <w:rsid w:val="00ED164C"/>
    <w:rsid w:val="00EE3BDE"/>
    <w:rsid w:val="00F00404"/>
    <w:rsid w:val="00F27AA3"/>
    <w:rsid w:val="00F573FB"/>
    <w:rsid w:val="00F73391"/>
    <w:rsid w:val="00F740DC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8FE06-9E29-48E7-B717-60BA613F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12</cp:revision>
  <cp:lastPrinted>2015-12-28T16:54:00Z</cp:lastPrinted>
  <dcterms:created xsi:type="dcterms:W3CDTF">2024-05-09T14:07:00Z</dcterms:created>
  <dcterms:modified xsi:type="dcterms:W3CDTF">2025-08-19T18:48:00Z</dcterms:modified>
</cp:coreProperties>
</file>