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114300" distR="114300">
            <wp:extent cx="5724524" cy="1800225"/>
            <wp:effectExtent b="0" l="0" r="0" t="0"/>
            <wp:docPr id="104544543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Desde el comienzo del aislamiento social, preventivo y obligatorio, el 20 de marzo hasta el 31 de mayo del corriente año, desde la Dirección de Género y Diversidad, llevamos adelante distintas acciones, entre ellas: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Remisión de datos, normas, jurisprudencia e información sobre el funcionamiento del sistema de justicia por cuarentena al cuerpo de patrocinio y la correspondiente coordinación con el Colegio de Abogados/as de la provincia de Mendoza.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Comunicación con el cuerpo de asesores/as legales de la DGYD respecto de las modificaciones en derecho de familia, acordadas sobre alimentos, régimen de comunicación, traslado de niñas, niños y adolescentes, etc.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Interacción constante con los distintos refugios. Asesoramiento, intercambio de datos o denuncias en proceso, así como suministro de datos de otros órganos del Estado, Fiscalías, Subsecretaría de Trabajo, Ministerio de Seguridad, Ministerio Público Fiscal, entre otros, para articular casos. </w:t>
      </w:r>
    </w:p>
    <w:p w:rsidR="00000000" w:rsidDel="00000000" w:rsidP="00000000" w:rsidRDefault="00000000" w:rsidRPr="00000000" w14:paraId="00000006">
      <w:pPr>
        <w:spacing w:after="160" w:before="0" w:line="259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Abordaje a mujeres en situación de violencia</w:t>
      </w:r>
    </w:p>
    <w:p w:rsidR="00000000" w:rsidDel="00000000" w:rsidP="00000000" w:rsidRDefault="00000000" w:rsidRPr="00000000" w14:paraId="00000007">
      <w:pPr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Durante el ASPO se han registrado 200 prestaciones de asistencia legal, social y psicológica mediante distintas modalidades (correo electrónico, comunicación telefónica, WhatsApp) desde distintos puntos de la provincia. Cabe aclarar que no todas las consultas/prestaciones que realizamos se produjeron en el actual contexto, sino que muchas mujeres volvieron a consultar durante el ASPO.</w:t>
      </w:r>
    </w:p>
    <w:p w:rsidR="00000000" w:rsidDel="00000000" w:rsidP="00000000" w:rsidRDefault="00000000" w:rsidRPr="00000000" w14:paraId="00000008">
      <w:pPr>
        <w:jc w:val="left"/>
        <w:rPr>
          <w:rFonts w:ascii="Calibri" w:cs="Calibri" w:eastAsia="Calibri" w:hAnsi="Calibri"/>
          <w:b w:val="1"/>
          <w:i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2"/>
          <w:szCs w:val="22"/>
          <w:rtl w:val="0"/>
        </w:rPr>
        <w:t xml:space="preserve">Situación en los refugios provinciales y municipales</w:t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b w:val="0"/>
          <w:i w:val="0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2"/>
          <w:szCs w:val="22"/>
          <w:rtl w:val="0"/>
        </w:rPr>
        <w:t xml:space="preserve">Desde el comienzo del ASPO, en los distintos refugios provinciales y municipales, se registró la presencia de 101 personas, entre mujeres y niños/as. Actualmente, habitan en el hogar provincial 15 personas; en el refugio “Sobran los Motivos” 28 personas, en Las Heras 11 personas, San Rafael 1 persona, General Alvear 3 personas, Godoy Cruz 10 personas, Santa Rosa 4 personas, Malargüe no registra casos durante el ASPO, Tunuyán 19 personas, Guaymallén 8 personas, San Carlos 5 personas.</w:t>
      </w:r>
    </w:p>
    <w:p w:rsidR="00000000" w:rsidDel="00000000" w:rsidP="00000000" w:rsidRDefault="00000000" w:rsidRPr="00000000" w14:paraId="0000000A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/>
        <w:drawing>
          <wp:inline distB="0" distT="0" distL="114300" distR="114300">
            <wp:extent cx="5724524" cy="619125"/>
            <wp:effectExtent b="0" l="0" r="0" t="0"/>
            <wp:docPr id="104544543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Ley Micaela (Ley 27499)</w:t>
      </w:r>
    </w:p>
    <w:p w:rsidR="00000000" w:rsidDel="00000000" w:rsidP="00000000" w:rsidRDefault="00000000" w:rsidRPr="00000000" w14:paraId="00000012">
      <w:pPr>
        <w:jc w:val="left"/>
        <w:rPr>
          <w:rFonts w:ascii="Calibri" w:cs="Calibri" w:eastAsia="Calibri" w:hAnsi="Calibri"/>
          <w:b w:val="0"/>
          <w:i w:val="0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2"/>
          <w:szCs w:val="22"/>
          <w:rtl w:val="0"/>
        </w:rPr>
        <w:t xml:space="preserve">26 de febrero, comenzó la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222222"/>
          <w:sz w:val="22"/>
          <w:szCs w:val="22"/>
          <w:rtl w:val="0"/>
        </w:rPr>
        <w:t xml:space="preserve">primera cohorte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2"/>
          <w:szCs w:val="22"/>
          <w:rtl w:val="0"/>
        </w:rPr>
        <w:t xml:space="preserve"> del curso virtual en Ley 27499, introducción a la temática de género y prevención de la violencia contra las mujeres, donde se inscribieron 800 agentes públicos, finalizaron el mismo 446 agentes. El 6 de abril, comenzó la segunda cohorte virtual, donde participaron 5.370 agentes públicos. El 18 de mayo, comenzó la tercera cohorte con 3200 agentes públicos inscriptos/as.</w:t>
      </w:r>
    </w:p>
    <w:p w:rsidR="00000000" w:rsidDel="00000000" w:rsidP="00000000" w:rsidRDefault="00000000" w:rsidRPr="00000000" w14:paraId="00000013">
      <w:pPr>
        <w:jc w:val="left"/>
        <w:rPr>
          <w:rFonts w:ascii="Calibri" w:cs="Calibri" w:eastAsia="Calibri" w:hAnsi="Calibri"/>
          <w:b w:val="0"/>
          <w:i w:val="0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2"/>
          <w:szCs w:val="22"/>
          <w:rtl w:val="0"/>
        </w:rPr>
        <w:t xml:space="preserve">Además, durante el mes de febrero del corriente año, 600 agentes asistieron a los distintos cursos presenciales en Ley Micaela. </w:t>
      </w:r>
    </w:p>
    <w:p w:rsidR="00000000" w:rsidDel="00000000" w:rsidP="00000000" w:rsidRDefault="00000000" w:rsidRPr="00000000" w14:paraId="00000014">
      <w:pPr>
        <w:jc w:val="left"/>
        <w:rPr>
          <w:rFonts w:ascii="Calibri" w:cs="Calibri" w:eastAsia="Calibri" w:hAnsi="Calibri"/>
          <w:b w:val="0"/>
          <w:i w:val="1"/>
          <w:color w:val="7030a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7030a0"/>
          <w:sz w:val="22"/>
          <w:szCs w:val="22"/>
          <w:rtl w:val="0"/>
        </w:rPr>
        <w:t xml:space="preserve">En lo que va del año, 9616 agentes públicos/as han sido capacitados/as en la temática de género y prevención de la violencia contra las mujeres.</w:t>
      </w:r>
    </w:p>
    <w:p w:rsidR="00000000" w:rsidDel="00000000" w:rsidP="00000000" w:rsidRDefault="00000000" w:rsidRPr="00000000" w14:paraId="00000015">
      <w:pPr>
        <w:jc w:val="left"/>
        <w:rPr>
          <w:rFonts w:ascii="Calibri" w:cs="Calibri" w:eastAsia="Calibri" w:hAnsi="Calibri"/>
          <w:b w:val="1"/>
          <w:i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2"/>
          <w:szCs w:val="22"/>
          <w:rtl w:val="0"/>
        </w:rPr>
        <w:t xml:space="preserve">Curso de Formación de Formadores/as en Ley Micaela</w:t>
      </w:r>
    </w:p>
    <w:p w:rsidR="00000000" w:rsidDel="00000000" w:rsidP="00000000" w:rsidRDefault="00000000" w:rsidRPr="00000000" w14:paraId="00000016">
      <w:pPr>
        <w:jc w:val="left"/>
        <w:rPr>
          <w:rFonts w:ascii="Calibri" w:cs="Calibri" w:eastAsia="Calibri" w:hAnsi="Calibri"/>
          <w:b w:val="0"/>
          <w:i w:val="0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2"/>
          <w:szCs w:val="22"/>
          <w:rtl w:val="0"/>
        </w:rPr>
        <w:t xml:space="preserve">La primera cohorte del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2"/>
          <w:szCs w:val="22"/>
          <w:rtl w:val="0"/>
        </w:rPr>
        <w:t xml:space="preserve">Curso de Formación de Formadores/as en Ley Micaela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2"/>
          <w:szCs w:val="22"/>
          <w:rtl w:val="0"/>
        </w:rPr>
        <w:t xml:space="preserve">, se llevó a cabo entre el 20 de febrero al 23 de abril, participaron 65 agentes de distintas jurisdicciones.</w:t>
      </w:r>
    </w:p>
    <w:p w:rsidR="00000000" w:rsidDel="00000000" w:rsidP="00000000" w:rsidRDefault="00000000" w:rsidRPr="00000000" w14:paraId="00000017">
      <w:pPr>
        <w:jc w:val="left"/>
        <w:rPr>
          <w:rFonts w:ascii="Calibri" w:cs="Calibri" w:eastAsia="Calibri" w:hAnsi="Calibri"/>
          <w:b w:val="0"/>
          <w:i w:val="0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2"/>
          <w:szCs w:val="22"/>
          <w:rtl w:val="0"/>
        </w:rPr>
        <w:t xml:space="preserve">La segunda cohorte del Curso de Formación de Formadores/as en Ley Micaela, comenzó bajo la modalidad virtual, el 23 de abril y participan actualmente del mismo 138 agentes públicos/as. </w:t>
      </w:r>
    </w:p>
    <w:p w:rsidR="00000000" w:rsidDel="00000000" w:rsidP="00000000" w:rsidRDefault="00000000" w:rsidRPr="00000000" w14:paraId="00000018">
      <w:pPr>
        <w:jc w:val="left"/>
        <w:rPr>
          <w:rFonts w:ascii="Calibri" w:cs="Calibri" w:eastAsia="Calibri" w:hAnsi="Calibri"/>
          <w:b w:val="0"/>
          <w:i w:val="0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2"/>
          <w:szCs w:val="22"/>
          <w:rtl w:val="0"/>
        </w:rPr>
        <w:t xml:space="preserve">Grupos de abordaje al varón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Calibri" w:cs="Calibri" w:eastAsia="Calibri" w:hAnsi="Calibri"/>
          <w:b w:val="0"/>
          <w:i w:val="0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2"/>
          <w:szCs w:val="22"/>
          <w:rtl w:val="0"/>
        </w:rPr>
        <w:t xml:space="preserve">Durante el ASPO se ha continuado con el trabajo terapéutico del Programa de abordaje al Varón, mediante la modalidad virtual (grupo de WhatsApp) y modalidad de entrevistas presenciales, dependiendo de cada caso. En el mismo se registra la participación de 70 varones.</w:t>
      </w:r>
    </w:p>
    <w:p w:rsidR="00000000" w:rsidDel="00000000" w:rsidP="00000000" w:rsidRDefault="00000000" w:rsidRPr="00000000" w14:paraId="0000001A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27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3009"/>
      <w:gridCol w:w="3009"/>
      <w:gridCol w:w="3009"/>
      <w:tblGridChange w:id="0">
        <w:tblGrid>
          <w:gridCol w:w="3009"/>
          <w:gridCol w:w="3009"/>
          <w:gridCol w:w="3009"/>
        </w:tblGrid>
      </w:tblGridChange>
    </w:tblGrid>
    <w:tr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027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3009"/>
      <w:gridCol w:w="3009"/>
      <w:gridCol w:w="3009"/>
      <w:tblGridChange w:id="0">
        <w:tblGrid>
          <w:gridCol w:w="3009"/>
          <w:gridCol w:w="3009"/>
          <w:gridCol w:w="3009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vZJ5pznw1TbnWenRVYWZE5YEA==">AMUW2mUL2Xl5YTAqRQG5NpWkFxrs4hS+Szor/3Dz7gDNT1f7SvdQmIwYaEwr/eFigbKowIIeP029Yb2PJBHZwdh5Tl188GLZHZRoafzse0Z7FKeQIxXmjgKrk2l4hl98s509VS7ZhQIn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2020-05-15T14:21:48.6341029Z</dcterms:created>
  <dc:creator>Leticia Femenía</dc:creator>
</cp:coreProperties>
</file>