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09" w:rsidRDefault="007C57E1">
      <w:pPr>
        <w:spacing w:before="342"/>
        <w:ind w:left="206" w:right="2595"/>
        <w:jc w:val="center"/>
        <w:rPr>
          <w:b/>
          <w:smallCaps/>
          <w:color w:val="EA60B2"/>
          <w:sz w:val="48"/>
          <w:szCs w:val="48"/>
        </w:rPr>
      </w:pPr>
      <w:bookmarkStart w:id="0" w:name="_GoBack"/>
      <w:bookmarkEnd w:id="0"/>
      <w:r>
        <w:rPr>
          <w:b/>
          <w:smallCaps/>
          <w:noProof/>
          <w:color w:val="EA60B2"/>
          <w:sz w:val="48"/>
          <w:szCs w:val="48"/>
          <w:lang w:val="es-AR"/>
        </w:rPr>
        <w:drawing>
          <wp:inline distT="114300" distB="114300" distL="114300" distR="114300">
            <wp:extent cx="6387150" cy="2082800"/>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6387150" cy="2082800"/>
                    </a:xfrm>
                    <a:prstGeom prst="rect">
                      <a:avLst/>
                    </a:prstGeom>
                    <a:ln/>
                  </pic:spPr>
                </pic:pic>
              </a:graphicData>
            </a:graphic>
          </wp:inline>
        </w:drawing>
      </w:r>
    </w:p>
    <w:p w:rsidR="002B7109" w:rsidRDefault="007C57E1">
      <w:pPr>
        <w:spacing w:before="342"/>
        <w:ind w:left="210" w:right="-19"/>
        <w:rPr>
          <w:sz w:val="48"/>
          <w:szCs w:val="48"/>
        </w:rPr>
      </w:pPr>
      <w:r>
        <w:rPr>
          <w:smallCaps/>
          <w:sz w:val="48"/>
          <w:szCs w:val="48"/>
        </w:rPr>
        <w:t>M</w:t>
      </w:r>
      <w:r>
        <w:rPr>
          <w:sz w:val="48"/>
          <w:szCs w:val="48"/>
        </w:rPr>
        <w:t xml:space="preserve">UJERES EN SITUACIÓN DE VIOLENCIA  DOMÉSTICA SEGÚN REGISTRO ÚNICO DE CASOS (R.U.C) </w:t>
      </w:r>
    </w:p>
    <w:p w:rsidR="002B7109" w:rsidRDefault="002B7109">
      <w:pPr>
        <w:spacing w:before="342"/>
        <w:ind w:left="210" w:right="2595"/>
        <w:rPr>
          <w:sz w:val="48"/>
          <w:szCs w:val="48"/>
        </w:rPr>
      </w:pPr>
    </w:p>
    <w:p w:rsidR="002B7109" w:rsidRDefault="007C57E1">
      <w:pPr>
        <w:pStyle w:val="Ttulo"/>
        <w:spacing w:after="0"/>
        <w:ind w:left="210"/>
        <w:rPr>
          <w:rFonts w:ascii="Calibri" w:eastAsia="Calibri" w:hAnsi="Calibri" w:cs="Calibri"/>
          <w:color w:val="000000"/>
          <w:sz w:val="48"/>
          <w:szCs w:val="48"/>
        </w:rPr>
      </w:pPr>
      <w:r>
        <w:rPr>
          <w:rFonts w:ascii="Calibri" w:eastAsia="Calibri" w:hAnsi="Calibri" w:cs="Calibri"/>
          <w:color w:val="000000"/>
          <w:sz w:val="48"/>
          <w:szCs w:val="48"/>
        </w:rPr>
        <w:t>Julio, agosto y septiembre de 2021</w:t>
      </w:r>
    </w:p>
    <w:p w:rsidR="002B7109" w:rsidRDefault="002B7109"/>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2B7109">
      <w:pPr>
        <w:pBdr>
          <w:top w:val="nil"/>
          <w:left w:val="nil"/>
          <w:bottom w:val="nil"/>
          <w:right w:val="nil"/>
          <w:between w:val="nil"/>
        </w:pBdr>
        <w:rPr>
          <w:b/>
          <w:sz w:val="20"/>
          <w:szCs w:val="20"/>
        </w:rPr>
      </w:pPr>
    </w:p>
    <w:p w:rsidR="002B7109" w:rsidRDefault="007C57E1">
      <w:pPr>
        <w:pStyle w:val="Subttulo"/>
        <w:tabs>
          <w:tab w:val="left" w:pos="9072"/>
        </w:tabs>
        <w:spacing w:before="85"/>
        <w:ind w:right="1038"/>
        <w:jc w:val="both"/>
        <w:rPr>
          <w:i w:val="0"/>
          <w:color w:val="0000FF"/>
          <w:sz w:val="26"/>
          <w:szCs w:val="26"/>
        </w:rPr>
      </w:pPr>
      <w:bookmarkStart w:id="1" w:name="_heading=h.gxjlkscgtzmd" w:colFirst="0" w:colLast="0"/>
      <w:bookmarkEnd w:id="1"/>
      <w:r>
        <w:rPr>
          <w:i w:val="0"/>
          <w:color w:val="0000FF"/>
          <w:sz w:val="24"/>
          <w:szCs w:val="24"/>
        </w:rPr>
        <w:lastRenderedPageBreak/>
        <w:t xml:space="preserve">MUJERES EN SITUACIÓN DE </w:t>
      </w:r>
      <w:r>
        <w:rPr>
          <w:i w:val="0"/>
          <w:color w:val="0000FF"/>
          <w:sz w:val="24"/>
          <w:szCs w:val="24"/>
        </w:rPr>
        <w:t xml:space="preserve">VIOLENCIA DOMÉSTICA </w:t>
      </w:r>
      <w:r>
        <w:rPr>
          <w:i w:val="0"/>
          <w:color w:val="0000FF"/>
          <w:sz w:val="24"/>
          <w:szCs w:val="24"/>
        </w:rPr>
        <w:t xml:space="preserve">EN MENDOZA REGISTRO ÚNICO DE CASOS (RUC). Período Abril- junio </w:t>
      </w:r>
      <w:r>
        <w:rPr>
          <w:i w:val="0"/>
          <w:color w:val="0000FF"/>
          <w:sz w:val="26"/>
          <w:szCs w:val="26"/>
        </w:rPr>
        <w:t>de 2021.</w:t>
      </w:r>
    </w:p>
    <w:p w:rsidR="002B7109" w:rsidRDefault="007C57E1">
      <w:pPr>
        <w:pStyle w:val="Ttulo3"/>
        <w:tabs>
          <w:tab w:val="left" w:pos="9770"/>
        </w:tabs>
        <w:ind w:left="296"/>
        <w:jc w:val="both"/>
        <w:rPr>
          <w:color w:val="0000FF"/>
        </w:rPr>
      </w:pPr>
      <w:r>
        <w:rPr>
          <w:color w:val="0000FF"/>
        </w:rPr>
        <w:t>Introducción</w:t>
      </w:r>
    </w:p>
    <w:p w:rsidR="002B7109" w:rsidRDefault="007C57E1">
      <w:pPr>
        <w:pBdr>
          <w:top w:val="nil"/>
          <w:left w:val="nil"/>
          <w:bottom w:val="nil"/>
          <w:right w:val="nil"/>
          <w:between w:val="nil"/>
        </w:pBdr>
        <w:ind w:right="-29"/>
        <w:jc w:val="both"/>
        <w:rPr>
          <w:color w:val="000000"/>
          <w:sz w:val="24"/>
          <w:szCs w:val="24"/>
        </w:rPr>
      </w:pPr>
      <w:r>
        <w:rPr>
          <w:color w:val="000000"/>
          <w:sz w:val="24"/>
          <w:szCs w:val="24"/>
        </w:rPr>
        <w:t>El Registro Único de Casos (RUC) es un instrumento diseñado e implementado por la Dirección de Género y Diversidad con el objeto de registrar la situación de mujeres que transitan situaciones de violencia doméstica.</w:t>
      </w:r>
    </w:p>
    <w:p w:rsidR="002B7109" w:rsidRDefault="007C57E1">
      <w:pPr>
        <w:pStyle w:val="Ttulo3"/>
        <w:spacing w:before="200"/>
        <w:ind w:firstLine="222"/>
        <w:jc w:val="both"/>
        <w:rPr>
          <w:color w:val="0000FF"/>
        </w:rPr>
      </w:pPr>
      <w:r>
        <w:rPr>
          <w:color w:val="0000FF"/>
        </w:rPr>
        <w:t>¿Por qué un Registro?</w:t>
      </w:r>
    </w:p>
    <w:p w:rsidR="002B7109" w:rsidRDefault="007C57E1">
      <w:pPr>
        <w:pBdr>
          <w:top w:val="nil"/>
          <w:left w:val="nil"/>
          <w:bottom w:val="nil"/>
          <w:right w:val="nil"/>
          <w:between w:val="nil"/>
        </w:pBdr>
        <w:ind w:right="-29"/>
        <w:jc w:val="both"/>
        <w:rPr>
          <w:color w:val="000000"/>
          <w:sz w:val="24"/>
          <w:szCs w:val="24"/>
        </w:rPr>
      </w:pPr>
      <w:r>
        <w:rPr>
          <w:color w:val="000000"/>
          <w:sz w:val="24"/>
          <w:szCs w:val="24"/>
        </w:rPr>
        <w:t xml:space="preserve">Porque la internalización y naturalización del fenómeno de la violencia hacia las mujeres oculta una grave violación a los derechos humanos e </w:t>
      </w:r>
      <w:proofErr w:type="spellStart"/>
      <w:r>
        <w:rPr>
          <w:color w:val="000000"/>
          <w:sz w:val="24"/>
          <w:szCs w:val="24"/>
        </w:rPr>
        <w:t>invisibiliza</w:t>
      </w:r>
      <w:proofErr w:type="spellEnd"/>
      <w:r>
        <w:rPr>
          <w:color w:val="000000"/>
          <w:sz w:val="24"/>
          <w:szCs w:val="24"/>
        </w:rPr>
        <w:t>, en muchos casos, las necesidades y demandas de las mujeres que sufren discrimi</w:t>
      </w:r>
      <w:r>
        <w:rPr>
          <w:color w:val="000000"/>
          <w:sz w:val="24"/>
          <w:szCs w:val="24"/>
        </w:rPr>
        <w:t>nación y desigualdad de género.</w:t>
      </w:r>
    </w:p>
    <w:p w:rsidR="002B7109" w:rsidRDefault="007C57E1">
      <w:pPr>
        <w:pBdr>
          <w:top w:val="nil"/>
          <w:left w:val="nil"/>
          <w:bottom w:val="nil"/>
          <w:right w:val="nil"/>
          <w:between w:val="nil"/>
        </w:pBdr>
        <w:spacing w:before="149"/>
        <w:jc w:val="both"/>
        <w:rPr>
          <w:color w:val="000000"/>
          <w:sz w:val="24"/>
          <w:szCs w:val="24"/>
        </w:rPr>
      </w:pPr>
      <w:r>
        <w:rPr>
          <w:color w:val="000000"/>
          <w:sz w:val="24"/>
          <w:szCs w:val="24"/>
        </w:rPr>
        <w:t>Los objetivos planteados desde el Observatorio de Género y Diversidad son:</w:t>
      </w:r>
    </w:p>
    <w:p w:rsidR="002B7109" w:rsidRDefault="007C57E1">
      <w:pPr>
        <w:numPr>
          <w:ilvl w:val="0"/>
          <w:numId w:val="1"/>
        </w:numPr>
        <w:pBdr>
          <w:top w:val="nil"/>
          <w:left w:val="nil"/>
          <w:bottom w:val="nil"/>
          <w:right w:val="nil"/>
          <w:between w:val="nil"/>
        </w:pBdr>
        <w:tabs>
          <w:tab w:val="left" w:pos="942"/>
        </w:tabs>
        <w:spacing w:before="196"/>
        <w:ind w:right="1454"/>
        <w:jc w:val="both"/>
        <w:rPr>
          <w:color w:val="000000"/>
        </w:rPr>
      </w:pPr>
      <w:r>
        <w:rPr>
          <w:color w:val="000000"/>
          <w:sz w:val="24"/>
          <w:szCs w:val="24"/>
        </w:rPr>
        <w:t xml:space="preserve">Centralizar la información y registrar los servicios y abordajes solicitados por la persona en situación de violencia doméstica en las áreas </w:t>
      </w:r>
      <w:r>
        <w:rPr>
          <w:sz w:val="24"/>
          <w:szCs w:val="24"/>
        </w:rPr>
        <w:t>municipales</w:t>
      </w:r>
      <w:r>
        <w:rPr>
          <w:color w:val="000000"/>
          <w:sz w:val="24"/>
          <w:szCs w:val="24"/>
        </w:rPr>
        <w:t xml:space="preserve"> y centros estatales autorizados para la atención de mujeres, con el propósito de generar indicadores de las mujeres abordadas en la Provincia de Mendoza.</w:t>
      </w:r>
    </w:p>
    <w:p w:rsidR="002B7109" w:rsidRDefault="007C57E1">
      <w:pPr>
        <w:numPr>
          <w:ilvl w:val="0"/>
          <w:numId w:val="1"/>
        </w:numPr>
        <w:pBdr>
          <w:top w:val="nil"/>
          <w:left w:val="nil"/>
          <w:bottom w:val="nil"/>
          <w:right w:val="nil"/>
          <w:between w:val="nil"/>
        </w:pBdr>
        <w:tabs>
          <w:tab w:val="left" w:pos="942"/>
        </w:tabs>
        <w:ind w:right="1449"/>
        <w:jc w:val="both"/>
        <w:rPr>
          <w:color w:val="000000"/>
        </w:rPr>
      </w:pPr>
      <w:r>
        <w:rPr>
          <w:color w:val="000000"/>
          <w:sz w:val="24"/>
          <w:szCs w:val="24"/>
        </w:rPr>
        <w:t>Generar datos oficiales sobre la violencia doméstica como insumo para el diseño e implemen</w:t>
      </w:r>
      <w:r>
        <w:rPr>
          <w:color w:val="000000"/>
          <w:sz w:val="24"/>
          <w:szCs w:val="24"/>
        </w:rPr>
        <w:t>tación de políticas públicas orientadas a prevenir y erradicar este fenómeno que impide a las mujeres vivir una vida libre de violencias. Concientizar sobre los sesgos de género en la generación de información y estadísticas locales, provinciales y naciona</w:t>
      </w:r>
      <w:r>
        <w:rPr>
          <w:color w:val="000000"/>
          <w:sz w:val="24"/>
          <w:szCs w:val="24"/>
        </w:rPr>
        <w:t>les.</w:t>
      </w:r>
    </w:p>
    <w:p w:rsidR="002B7109" w:rsidRDefault="007C57E1">
      <w:pPr>
        <w:numPr>
          <w:ilvl w:val="0"/>
          <w:numId w:val="1"/>
        </w:numPr>
        <w:pBdr>
          <w:top w:val="nil"/>
          <w:left w:val="nil"/>
          <w:bottom w:val="nil"/>
          <w:right w:val="nil"/>
          <w:between w:val="nil"/>
        </w:pBdr>
        <w:tabs>
          <w:tab w:val="left" w:pos="942"/>
        </w:tabs>
        <w:spacing w:before="102"/>
        <w:ind w:right="1450"/>
        <w:jc w:val="both"/>
        <w:rPr>
          <w:color w:val="000000"/>
        </w:rPr>
      </w:pPr>
      <w:r>
        <w:rPr>
          <w:color w:val="000000"/>
          <w:sz w:val="24"/>
          <w:szCs w:val="24"/>
        </w:rPr>
        <w:t>Concientizar sobre la necesidad de unificar registros administrativos Provinciales que aborden mujeres en situación de violencia en el marco de la Propuesta del RUCUVM creado en el marco de la ley N°26.485 de “Protección Integral a las mujeres” en conjunto</w:t>
      </w:r>
      <w:r>
        <w:rPr>
          <w:color w:val="000000"/>
          <w:sz w:val="24"/>
          <w:szCs w:val="24"/>
        </w:rPr>
        <w:t xml:space="preserve"> con el Instituto Nacional de Estadísticas y Censos (INDEC).</w:t>
      </w:r>
    </w:p>
    <w:p w:rsidR="002B7109" w:rsidRDefault="002B7109">
      <w:pPr>
        <w:pStyle w:val="Ttulo3"/>
        <w:spacing w:before="0"/>
        <w:ind w:left="0"/>
        <w:jc w:val="both"/>
        <w:rPr>
          <w:color w:val="7030A0"/>
        </w:rPr>
      </w:pPr>
    </w:p>
    <w:p w:rsidR="002B7109" w:rsidRDefault="007C57E1">
      <w:pPr>
        <w:pStyle w:val="Ttulo3"/>
        <w:spacing w:before="0"/>
        <w:ind w:left="0"/>
        <w:jc w:val="both"/>
        <w:rPr>
          <w:color w:val="0000FF"/>
        </w:rPr>
      </w:pPr>
      <w:r>
        <w:rPr>
          <w:color w:val="0000FF"/>
        </w:rPr>
        <w:t>¿Qué población integra el RUC?</w:t>
      </w:r>
    </w:p>
    <w:p w:rsidR="002B7109" w:rsidRDefault="007C57E1">
      <w:pPr>
        <w:pBdr>
          <w:top w:val="nil"/>
          <w:left w:val="nil"/>
          <w:bottom w:val="nil"/>
          <w:right w:val="nil"/>
          <w:between w:val="nil"/>
        </w:pBdr>
        <w:spacing w:before="1"/>
        <w:ind w:right="-4"/>
        <w:jc w:val="both"/>
        <w:rPr>
          <w:color w:val="000000"/>
          <w:sz w:val="24"/>
          <w:szCs w:val="24"/>
        </w:rPr>
      </w:pPr>
      <w:r>
        <w:rPr>
          <w:color w:val="000000"/>
          <w:sz w:val="24"/>
          <w:szCs w:val="24"/>
        </w:rPr>
        <w:t>La población objeto de estudio son las mujeres en situación de violencia doméstica, que se encuentran registradas por haber realizado la denuncia del hecho y/o por</w:t>
      </w:r>
      <w:r>
        <w:rPr>
          <w:color w:val="000000"/>
          <w:sz w:val="24"/>
          <w:szCs w:val="24"/>
        </w:rPr>
        <w:t xml:space="preserve"> haber solicitado algún tipo de Abordaje (Judicial, legal, social, entre otras) por ellas mismas o un tercero (familiar o no) en algún área Mujer Departamental, en la Dirección de Género y Diversidad y Consejerías de Salud de la Universidad Nacional de Cuy</w:t>
      </w:r>
      <w:r>
        <w:rPr>
          <w:color w:val="000000"/>
          <w:sz w:val="24"/>
          <w:szCs w:val="24"/>
        </w:rPr>
        <w:t>o.</w:t>
      </w:r>
    </w:p>
    <w:p w:rsidR="002B7109" w:rsidRDefault="007C57E1">
      <w:pPr>
        <w:pStyle w:val="Ttulo3"/>
        <w:spacing w:before="152"/>
        <w:ind w:left="0"/>
        <w:jc w:val="both"/>
        <w:rPr>
          <w:color w:val="0000FF"/>
        </w:rPr>
      </w:pPr>
      <w:r>
        <w:rPr>
          <w:color w:val="0000FF"/>
        </w:rPr>
        <w:t xml:space="preserve">¿Cuál es el aporte del </w:t>
      </w:r>
      <w:r>
        <w:rPr>
          <w:color w:val="0000FF"/>
        </w:rPr>
        <w:t>r</w:t>
      </w:r>
      <w:r>
        <w:rPr>
          <w:color w:val="0000FF"/>
        </w:rPr>
        <w:t>egistro único de casos (RUC)?</w:t>
      </w:r>
    </w:p>
    <w:p w:rsidR="002B7109" w:rsidRDefault="007C57E1">
      <w:pPr>
        <w:pStyle w:val="Ttulo3"/>
        <w:spacing w:before="152"/>
        <w:ind w:left="0"/>
        <w:jc w:val="both"/>
        <w:rPr>
          <w:b w:val="0"/>
          <w:color w:val="000000"/>
        </w:rPr>
      </w:pPr>
      <w:r>
        <w:rPr>
          <w:b w:val="0"/>
          <w:color w:val="000000"/>
        </w:rPr>
        <w:t xml:space="preserve">Disponer de datos oficiales y centralizados en un </w:t>
      </w:r>
      <w:r>
        <w:rPr>
          <w:b w:val="0"/>
        </w:rPr>
        <w:t>r</w:t>
      </w:r>
      <w:r>
        <w:rPr>
          <w:b w:val="0"/>
          <w:color w:val="000000"/>
        </w:rPr>
        <w:t>egistro único de casos permite dimensionar el fenómeno de la violencia por motivos de género y sumar de manera interinstitucional y orgánica a su er</w:t>
      </w:r>
      <w:r>
        <w:rPr>
          <w:b w:val="0"/>
          <w:color w:val="000000"/>
        </w:rPr>
        <w:t>radicación.</w:t>
      </w:r>
    </w:p>
    <w:p w:rsidR="002B7109" w:rsidRDefault="007C57E1">
      <w:pPr>
        <w:pBdr>
          <w:top w:val="nil"/>
          <w:left w:val="nil"/>
          <w:bottom w:val="nil"/>
          <w:right w:val="nil"/>
          <w:between w:val="nil"/>
        </w:pBdr>
        <w:spacing w:before="200"/>
        <w:ind w:right="-4"/>
        <w:jc w:val="both"/>
        <w:rPr>
          <w:color w:val="000000"/>
          <w:sz w:val="24"/>
          <w:szCs w:val="24"/>
        </w:rPr>
      </w:pPr>
      <w:r>
        <w:rPr>
          <w:color w:val="000000"/>
          <w:sz w:val="24"/>
          <w:szCs w:val="24"/>
        </w:rPr>
        <w:t>Otr</w:t>
      </w:r>
      <w:r>
        <w:rPr>
          <w:sz w:val="24"/>
          <w:szCs w:val="24"/>
        </w:rPr>
        <w:t>a</w:t>
      </w:r>
      <w:r>
        <w:rPr>
          <w:color w:val="000000"/>
          <w:sz w:val="24"/>
          <w:szCs w:val="24"/>
        </w:rPr>
        <w:t xml:space="preserve"> gran contribución es ayudar a disminuir las brechas existentes entre las mujeres en situación de violencia y las que solicitan algún tipo de ayuda y/o efectúan la denuncia. Disminuir estas brechas contribuye al fortalecimiento de las mujer</w:t>
      </w:r>
      <w:r>
        <w:rPr>
          <w:color w:val="000000"/>
          <w:sz w:val="24"/>
          <w:szCs w:val="24"/>
        </w:rPr>
        <w:t>es para construir comportamientos críticos y de resistencia frente a todo tipo de violencias y la apropiación de sus derechos.</w:t>
      </w:r>
    </w:p>
    <w:p w:rsidR="002B7109" w:rsidRDefault="007C57E1">
      <w:pPr>
        <w:pBdr>
          <w:top w:val="nil"/>
          <w:left w:val="nil"/>
          <w:bottom w:val="nil"/>
          <w:right w:val="nil"/>
          <w:between w:val="nil"/>
        </w:pBdr>
        <w:spacing w:before="153"/>
        <w:ind w:right="-4"/>
        <w:jc w:val="both"/>
        <w:rPr>
          <w:color w:val="000000"/>
          <w:sz w:val="24"/>
          <w:szCs w:val="24"/>
        </w:rPr>
      </w:pPr>
      <w:r>
        <w:rPr>
          <w:color w:val="000000"/>
          <w:sz w:val="24"/>
          <w:szCs w:val="24"/>
        </w:rPr>
        <w:lastRenderedPageBreak/>
        <w:t xml:space="preserve">Aspiramos a que este </w:t>
      </w:r>
      <w:r>
        <w:rPr>
          <w:i/>
          <w:sz w:val="24"/>
          <w:szCs w:val="24"/>
        </w:rPr>
        <w:t>r</w:t>
      </w:r>
      <w:r>
        <w:rPr>
          <w:i/>
          <w:color w:val="000000"/>
          <w:sz w:val="24"/>
          <w:szCs w:val="24"/>
        </w:rPr>
        <w:t xml:space="preserve">egistro </w:t>
      </w:r>
      <w:r>
        <w:rPr>
          <w:i/>
          <w:sz w:val="24"/>
          <w:szCs w:val="24"/>
        </w:rPr>
        <w:t>ú</w:t>
      </w:r>
      <w:r>
        <w:rPr>
          <w:i/>
          <w:color w:val="000000"/>
          <w:sz w:val="24"/>
          <w:szCs w:val="24"/>
        </w:rPr>
        <w:t>nico de casos</w:t>
      </w:r>
      <w:r>
        <w:rPr>
          <w:color w:val="000000"/>
          <w:sz w:val="24"/>
          <w:szCs w:val="24"/>
        </w:rPr>
        <w:t xml:space="preserve"> sea una herramienta que permita identificar los casos en que una misma mujer realiza más de una denuncia o solicitud de abordaje en el mismo Departamento o centro de atención. Y un objetivo de máxima es lograr trazar la ruta crítica por la que circulan la</w:t>
      </w:r>
      <w:r>
        <w:rPr>
          <w:color w:val="000000"/>
          <w:sz w:val="24"/>
          <w:szCs w:val="24"/>
        </w:rPr>
        <w:t>s mujeres en situación de violencia doméstica desde que pueden o deciden solicitar algún tipo de intervención. Esto se refiere al recorrido que realizan las mujeres en esta situación por las distintas instancias en busca de una respuesta del Estado, ya sea</w:t>
      </w:r>
      <w:r>
        <w:rPr>
          <w:color w:val="000000"/>
          <w:sz w:val="24"/>
          <w:szCs w:val="24"/>
        </w:rPr>
        <w:t xml:space="preserve"> Provincial o Municipal.</w:t>
      </w:r>
    </w:p>
    <w:p w:rsidR="002B7109" w:rsidRDefault="007C57E1">
      <w:pPr>
        <w:pBdr>
          <w:top w:val="nil"/>
          <w:left w:val="nil"/>
          <w:bottom w:val="nil"/>
          <w:right w:val="nil"/>
          <w:between w:val="nil"/>
        </w:pBdr>
        <w:spacing w:before="103"/>
        <w:ind w:right="-4"/>
        <w:jc w:val="both"/>
        <w:rPr>
          <w:color w:val="000000"/>
          <w:sz w:val="24"/>
          <w:szCs w:val="24"/>
        </w:rPr>
      </w:pPr>
      <w:r>
        <w:rPr>
          <w:color w:val="000000"/>
          <w:sz w:val="24"/>
          <w:szCs w:val="24"/>
        </w:rPr>
        <w:t>Además otra de las grandes deudas a saldar es obtener la mayor  cobertura  geográfica Provincial, de la mayor cantidad de mujeres en situación de violencia doméstica en zonas urbanas y rurales de nuestra Provincia. Esa desagregación permitirá generar insum</w:t>
      </w:r>
      <w:r>
        <w:rPr>
          <w:color w:val="000000"/>
          <w:sz w:val="24"/>
          <w:szCs w:val="24"/>
        </w:rPr>
        <w:t>os para el diseño de políticas públicas en cada jurisdicción. La violencia para abordarla en todas sus dimensiones debe contextualizarse, de ahí la importancia en la ampliación de cobertura de la ficha RUC</w:t>
      </w:r>
    </w:p>
    <w:p w:rsidR="002B7109" w:rsidRDefault="007C57E1">
      <w:pPr>
        <w:spacing w:before="147"/>
        <w:ind w:right="-4"/>
        <w:jc w:val="both"/>
        <w:rPr>
          <w:sz w:val="24"/>
          <w:szCs w:val="24"/>
        </w:rPr>
      </w:pPr>
      <w:r>
        <w:rPr>
          <w:sz w:val="24"/>
          <w:szCs w:val="24"/>
        </w:rPr>
        <w:t>El presente informe se ha elaborado teniendo en cu</w:t>
      </w:r>
      <w:r>
        <w:rPr>
          <w:sz w:val="24"/>
          <w:szCs w:val="24"/>
        </w:rPr>
        <w:t xml:space="preserve">enta las limitaciones metodológicas que </w:t>
      </w:r>
      <w:proofErr w:type="gramStart"/>
      <w:r>
        <w:rPr>
          <w:sz w:val="24"/>
          <w:szCs w:val="24"/>
        </w:rPr>
        <w:t>presenta</w:t>
      </w:r>
      <w:proofErr w:type="gramEnd"/>
      <w:r>
        <w:rPr>
          <w:sz w:val="24"/>
          <w:szCs w:val="24"/>
        </w:rPr>
        <w:t xml:space="preserve">, ya que el mismo </w:t>
      </w:r>
      <w:r>
        <w:rPr>
          <w:i/>
          <w:color w:val="0000FF"/>
          <w:sz w:val="24"/>
          <w:szCs w:val="24"/>
        </w:rPr>
        <w:t>“no representa la totalidad de los casos de violencia doméstica de la Provincia” ni tampoco la “totalidad de  los casos de situaciones que han sido abordadas”</w:t>
      </w:r>
      <w:r>
        <w:rPr>
          <w:color w:val="0066FF"/>
          <w:sz w:val="24"/>
          <w:szCs w:val="24"/>
        </w:rPr>
        <w:t xml:space="preserve">. </w:t>
      </w:r>
      <w:r>
        <w:rPr>
          <w:sz w:val="24"/>
          <w:szCs w:val="24"/>
        </w:rPr>
        <w:t>No obstante ello el  mismo  si</w:t>
      </w:r>
      <w:r>
        <w:rPr>
          <w:sz w:val="24"/>
          <w:szCs w:val="24"/>
        </w:rPr>
        <w:t>rve como una aproximación a la determinación de las situaciones y hechos que se presentan con mayor frecuencia en el universo de casos cargados y registrados.</w:t>
      </w:r>
    </w:p>
    <w:p w:rsidR="002B7109" w:rsidRDefault="002B7109">
      <w:pPr>
        <w:pBdr>
          <w:top w:val="nil"/>
          <w:left w:val="nil"/>
          <w:bottom w:val="nil"/>
          <w:right w:val="nil"/>
          <w:between w:val="nil"/>
        </w:pBdr>
        <w:jc w:val="both"/>
        <w:rPr>
          <w:color w:val="000000"/>
          <w:sz w:val="24"/>
          <w:szCs w:val="24"/>
        </w:rPr>
      </w:pPr>
    </w:p>
    <w:p w:rsidR="002B7109" w:rsidRDefault="007C57E1">
      <w:pPr>
        <w:pBdr>
          <w:top w:val="nil"/>
          <w:left w:val="nil"/>
          <w:bottom w:val="nil"/>
          <w:right w:val="nil"/>
          <w:between w:val="nil"/>
        </w:pBdr>
        <w:ind w:right="-4"/>
        <w:jc w:val="both"/>
        <w:rPr>
          <w:color w:val="000000"/>
          <w:sz w:val="24"/>
          <w:szCs w:val="24"/>
        </w:rPr>
      </w:pPr>
      <w:r>
        <w:rPr>
          <w:color w:val="000000"/>
          <w:sz w:val="24"/>
          <w:szCs w:val="24"/>
        </w:rPr>
        <w:t xml:space="preserve">En el año 2015, la Ficha RUC se cargaba sólo en 10 </w:t>
      </w:r>
      <w:r>
        <w:rPr>
          <w:sz w:val="24"/>
          <w:szCs w:val="24"/>
        </w:rPr>
        <w:t>D</w:t>
      </w:r>
      <w:r>
        <w:rPr>
          <w:color w:val="000000"/>
          <w:sz w:val="24"/>
          <w:szCs w:val="24"/>
        </w:rPr>
        <w:t>epartamentos de Mendoza. Desde el año 20</w:t>
      </w:r>
      <w:r>
        <w:rPr>
          <w:sz w:val="24"/>
          <w:szCs w:val="24"/>
        </w:rPr>
        <w:t>20</w:t>
      </w:r>
      <w:r>
        <w:rPr>
          <w:color w:val="000000"/>
          <w:sz w:val="24"/>
          <w:szCs w:val="24"/>
        </w:rPr>
        <w:t xml:space="preserve"> se ha logrado que la Ficha R.U.C. se cargue en los 18 Departamentos de la </w:t>
      </w:r>
      <w:r>
        <w:rPr>
          <w:sz w:val="24"/>
          <w:szCs w:val="24"/>
        </w:rPr>
        <w:t>P</w:t>
      </w:r>
      <w:r>
        <w:rPr>
          <w:color w:val="000000"/>
          <w:sz w:val="24"/>
          <w:szCs w:val="24"/>
        </w:rPr>
        <w:t>rovincia.</w:t>
      </w:r>
    </w:p>
    <w:p w:rsidR="002B7109" w:rsidRDefault="002B7109">
      <w:pPr>
        <w:pBdr>
          <w:top w:val="nil"/>
          <w:left w:val="nil"/>
          <w:bottom w:val="nil"/>
          <w:right w:val="nil"/>
          <w:between w:val="nil"/>
        </w:pBdr>
        <w:ind w:right="1449"/>
        <w:jc w:val="both"/>
        <w:rPr>
          <w:color w:val="000000"/>
          <w:sz w:val="24"/>
          <w:szCs w:val="24"/>
        </w:rPr>
      </w:pPr>
    </w:p>
    <w:p w:rsidR="002B7109" w:rsidRDefault="007C57E1">
      <w:pPr>
        <w:jc w:val="both"/>
        <w:rPr>
          <w:b/>
          <w:sz w:val="28"/>
          <w:szCs w:val="28"/>
        </w:rPr>
      </w:pPr>
      <w:r>
        <w:rPr>
          <w:b/>
          <w:sz w:val="28"/>
          <w:szCs w:val="28"/>
        </w:rPr>
        <w:t xml:space="preserve">MUJERES EN </w:t>
      </w:r>
      <w:r>
        <w:rPr>
          <w:b/>
          <w:sz w:val="28"/>
          <w:szCs w:val="28"/>
        </w:rPr>
        <w:t>SITUACIÓN</w:t>
      </w:r>
      <w:r>
        <w:rPr>
          <w:b/>
          <w:sz w:val="28"/>
          <w:szCs w:val="28"/>
        </w:rPr>
        <w:t xml:space="preserve"> DE VIOLENCIA </w:t>
      </w:r>
      <w:r>
        <w:rPr>
          <w:b/>
          <w:sz w:val="28"/>
          <w:szCs w:val="28"/>
        </w:rPr>
        <w:t>DOMÉSTICA</w:t>
      </w:r>
      <w:r>
        <w:rPr>
          <w:b/>
          <w:sz w:val="28"/>
          <w:szCs w:val="28"/>
        </w:rPr>
        <w:t xml:space="preserve"> EN MENDOZA. REGISTRO </w:t>
      </w:r>
      <w:r>
        <w:rPr>
          <w:b/>
          <w:sz w:val="28"/>
          <w:szCs w:val="28"/>
        </w:rPr>
        <w:t>Ú</w:t>
      </w:r>
      <w:r>
        <w:rPr>
          <w:b/>
          <w:sz w:val="28"/>
          <w:szCs w:val="28"/>
        </w:rPr>
        <w:t xml:space="preserve">NICO DE CASOS (RUC). </w:t>
      </w:r>
    </w:p>
    <w:p w:rsidR="002B7109" w:rsidRDefault="002B7109">
      <w:pPr>
        <w:jc w:val="both"/>
        <w:rPr>
          <w:b/>
          <w:sz w:val="28"/>
          <w:szCs w:val="28"/>
        </w:rPr>
      </w:pPr>
    </w:p>
    <w:p w:rsidR="002B7109" w:rsidRDefault="007C57E1">
      <w:pPr>
        <w:jc w:val="both"/>
        <w:rPr>
          <w:sz w:val="24"/>
          <w:szCs w:val="24"/>
        </w:rPr>
      </w:pPr>
      <w:r>
        <w:rPr>
          <w:sz w:val="24"/>
          <w:szCs w:val="24"/>
        </w:rPr>
        <w:t xml:space="preserve">El presente </w:t>
      </w:r>
      <w:r>
        <w:rPr>
          <w:color w:val="000000"/>
          <w:sz w:val="24"/>
          <w:szCs w:val="24"/>
        </w:rPr>
        <w:t xml:space="preserve">informe </w:t>
      </w:r>
      <w:r>
        <w:rPr>
          <w:color w:val="000000"/>
          <w:sz w:val="24"/>
          <w:szCs w:val="24"/>
        </w:rPr>
        <w:t>comprende los</w:t>
      </w:r>
      <w:r>
        <w:rPr>
          <w:b/>
          <w:color w:val="000000"/>
          <w:sz w:val="24"/>
          <w:szCs w:val="24"/>
        </w:rPr>
        <w:t xml:space="preserve"> 12</w:t>
      </w:r>
      <w:r>
        <w:rPr>
          <w:b/>
          <w:sz w:val="24"/>
          <w:szCs w:val="24"/>
        </w:rPr>
        <w:t>71</w:t>
      </w:r>
      <w:r>
        <w:rPr>
          <w:b/>
          <w:color w:val="000000"/>
          <w:sz w:val="24"/>
          <w:szCs w:val="24"/>
        </w:rPr>
        <w:t xml:space="preserve"> </w:t>
      </w:r>
      <w:r>
        <w:rPr>
          <w:b/>
          <w:color w:val="000000"/>
          <w:sz w:val="24"/>
          <w:szCs w:val="24"/>
        </w:rPr>
        <w:t xml:space="preserve">casos de mujeres que transitaron situaciones de violencia doméstica registrados en sistema RUC, </w:t>
      </w:r>
      <w:r>
        <w:rPr>
          <w:color w:val="000000"/>
          <w:sz w:val="24"/>
          <w:szCs w:val="24"/>
        </w:rPr>
        <w:t>durante los meses de</w:t>
      </w:r>
      <w:r>
        <w:rPr>
          <w:b/>
          <w:color w:val="000000"/>
          <w:sz w:val="24"/>
          <w:szCs w:val="24"/>
        </w:rPr>
        <w:t xml:space="preserve"> julio, agosto y septiembre</w:t>
      </w:r>
      <w:r>
        <w:rPr>
          <w:b/>
          <w:sz w:val="24"/>
          <w:szCs w:val="24"/>
        </w:rPr>
        <w:t xml:space="preserve"> </w:t>
      </w:r>
      <w:r>
        <w:rPr>
          <w:b/>
          <w:color w:val="000000"/>
          <w:sz w:val="24"/>
          <w:szCs w:val="24"/>
        </w:rPr>
        <w:t>de</w:t>
      </w:r>
      <w:r>
        <w:rPr>
          <w:b/>
          <w:sz w:val="24"/>
          <w:szCs w:val="24"/>
        </w:rPr>
        <w:t>l corriente año</w:t>
      </w:r>
      <w:r>
        <w:rPr>
          <w:b/>
          <w:color w:val="000000"/>
          <w:sz w:val="24"/>
          <w:szCs w:val="24"/>
        </w:rPr>
        <w:t xml:space="preserve">, </w:t>
      </w:r>
      <w:r>
        <w:rPr>
          <w:color w:val="000000"/>
          <w:sz w:val="24"/>
          <w:szCs w:val="24"/>
        </w:rPr>
        <w:t>según informes enviados por los Municipios.</w:t>
      </w:r>
      <w:r>
        <w:rPr>
          <w:sz w:val="24"/>
          <w:szCs w:val="24"/>
        </w:rPr>
        <w:t xml:space="preserve"> Siendo los Departamentos de </w:t>
      </w:r>
      <w:r>
        <w:rPr>
          <w:b/>
          <w:sz w:val="24"/>
          <w:szCs w:val="24"/>
        </w:rPr>
        <w:t>Maipú, San Martín y S</w:t>
      </w:r>
      <w:r>
        <w:rPr>
          <w:b/>
          <w:sz w:val="24"/>
          <w:szCs w:val="24"/>
        </w:rPr>
        <w:t>an Rafael</w:t>
      </w:r>
      <w:r>
        <w:rPr>
          <w:sz w:val="24"/>
          <w:szCs w:val="24"/>
        </w:rPr>
        <w:t xml:space="preserve"> quienes recibieron en sus áreas y registraron los abordajes de la mayor cantidad de </w:t>
      </w:r>
      <w:r>
        <w:rPr>
          <w:sz w:val="24"/>
          <w:szCs w:val="24"/>
        </w:rPr>
        <w:t>personas en situación de violencia.</w:t>
      </w:r>
    </w:p>
    <w:p w:rsidR="002B7109" w:rsidRDefault="002B7109">
      <w:pPr>
        <w:jc w:val="both"/>
        <w:rPr>
          <w:sz w:val="24"/>
          <w:szCs w:val="24"/>
        </w:rPr>
      </w:pPr>
    </w:p>
    <w:p w:rsidR="002B7109" w:rsidRDefault="007C57E1">
      <w:pPr>
        <w:jc w:val="both"/>
        <w:rPr>
          <w:sz w:val="24"/>
          <w:szCs w:val="24"/>
        </w:rPr>
      </w:pPr>
      <w:r>
        <w:rPr>
          <w:noProof/>
          <w:sz w:val="24"/>
          <w:szCs w:val="24"/>
          <w:lang w:val="es-AR"/>
        </w:rPr>
        <w:lastRenderedPageBreak/>
        <w:drawing>
          <wp:inline distT="114300" distB="114300" distL="114300" distR="114300">
            <wp:extent cx="6387150" cy="3949700"/>
            <wp:effectExtent l="0" t="0" r="0" b="0"/>
            <wp:docPr id="13" name="image2.png" descr="Gráfico"/>
            <wp:cNvGraphicFramePr/>
            <a:graphic xmlns:a="http://schemas.openxmlformats.org/drawingml/2006/main">
              <a:graphicData uri="http://schemas.openxmlformats.org/drawingml/2006/picture">
                <pic:pic xmlns:pic="http://schemas.openxmlformats.org/drawingml/2006/picture">
                  <pic:nvPicPr>
                    <pic:cNvPr id="0" name="image2.png" descr="Gráfico"/>
                    <pic:cNvPicPr preferRelativeResize="0"/>
                  </pic:nvPicPr>
                  <pic:blipFill>
                    <a:blip r:embed="rId10"/>
                    <a:srcRect/>
                    <a:stretch>
                      <a:fillRect/>
                    </a:stretch>
                  </pic:blipFill>
                  <pic:spPr>
                    <a:xfrm>
                      <a:off x="0" y="0"/>
                      <a:ext cx="6387150" cy="3949700"/>
                    </a:xfrm>
                    <a:prstGeom prst="rect">
                      <a:avLst/>
                    </a:prstGeom>
                    <a:ln/>
                  </pic:spPr>
                </pic:pic>
              </a:graphicData>
            </a:graphic>
          </wp:inline>
        </w:drawing>
      </w:r>
    </w:p>
    <w:p w:rsidR="002B7109" w:rsidRDefault="007C57E1">
      <w:pPr>
        <w:jc w:val="both"/>
        <w:rPr>
          <w:color w:val="000000"/>
          <w:sz w:val="20"/>
          <w:szCs w:val="20"/>
        </w:rPr>
      </w:pPr>
      <w:r>
        <w:rPr>
          <w:color w:val="000000"/>
          <w:sz w:val="20"/>
          <w:szCs w:val="20"/>
        </w:rPr>
        <w:t xml:space="preserve">Fuente: </w:t>
      </w:r>
      <w:r>
        <w:rPr>
          <w:sz w:val="20"/>
          <w:szCs w:val="20"/>
        </w:rPr>
        <w:t>E</w:t>
      </w:r>
      <w:r>
        <w:rPr>
          <w:color w:val="000000"/>
          <w:sz w:val="20"/>
          <w:szCs w:val="20"/>
        </w:rPr>
        <w:t>laborado por Observatorio de Género y Diversidad de la Dirección de Género y Diversidad, Ministerio de  Salud, Des</w:t>
      </w:r>
      <w:r>
        <w:rPr>
          <w:color w:val="000000"/>
          <w:sz w:val="20"/>
          <w:szCs w:val="20"/>
        </w:rPr>
        <w:t>arrollo Social y Deportes, sobre la base de datos del RUC. Mendoza. Octubre</w:t>
      </w:r>
      <w:r>
        <w:rPr>
          <w:sz w:val="20"/>
          <w:szCs w:val="20"/>
        </w:rPr>
        <w:t>, 2021.</w:t>
      </w:r>
    </w:p>
    <w:p w:rsidR="002B7109" w:rsidRDefault="002B7109">
      <w:pPr>
        <w:jc w:val="both"/>
        <w:rPr>
          <w:sz w:val="24"/>
          <w:szCs w:val="24"/>
        </w:rPr>
      </w:pPr>
    </w:p>
    <w:p w:rsidR="002B7109" w:rsidRDefault="007C57E1">
      <w:pPr>
        <w:tabs>
          <w:tab w:val="left" w:pos="8755"/>
        </w:tabs>
        <w:jc w:val="both"/>
        <w:rPr>
          <w:b/>
          <w:sz w:val="28"/>
          <w:szCs w:val="28"/>
        </w:rPr>
      </w:pPr>
      <w:r>
        <w:rPr>
          <w:b/>
          <w:sz w:val="28"/>
          <w:szCs w:val="28"/>
        </w:rPr>
        <w:t>Edad de las mujeres en situación de violencia doméstica</w:t>
      </w:r>
    </w:p>
    <w:p w:rsidR="002B7109" w:rsidRDefault="002B7109">
      <w:pPr>
        <w:pBdr>
          <w:top w:val="nil"/>
          <w:left w:val="nil"/>
          <w:bottom w:val="nil"/>
          <w:right w:val="nil"/>
          <w:between w:val="nil"/>
        </w:pBdr>
        <w:spacing w:before="6"/>
        <w:ind w:firstLine="708"/>
        <w:jc w:val="both"/>
        <w:rPr>
          <w:b/>
          <w:sz w:val="24"/>
          <w:szCs w:val="24"/>
        </w:rPr>
      </w:pPr>
    </w:p>
    <w:p w:rsidR="002B7109" w:rsidRDefault="007C57E1">
      <w:pPr>
        <w:spacing w:before="6"/>
        <w:jc w:val="both"/>
        <w:rPr>
          <w:sz w:val="24"/>
          <w:szCs w:val="24"/>
        </w:rPr>
      </w:pPr>
      <w:r>
        <w:rPr>
          <w:sz w:val="24"/>
          <w:szCs w:val="24"/>
        </w:rPr>
        <w:t>Podemos observar que entre los casos registrados, ya sea en Áreas Mujer Departamentales, en la Dirección de Género y Diversidad o Consejerías de Salud de la Universidad Nacional de Cuyo, el rango etario con mayor cantidad de denuncias es el que va desde lo</w:t>
      </w:r>
      <w:r>
        <w:rPr>
          <w:sz w:val="24"/>
          <w:szCs w:val="24"/>
        </w:rPr>
        <w:t>s 25 a 35 años (446 casos), seguido del grupo que va de 36 a 46 años (273 casos), y en tercer lugar, el grupo que va de los 14 a 24 años (176 casos).</w:t>
      </w:r>
    </w:p>
    <w:p w:rsidR="002B7109" w:rsidRDefault="002B7109">
      <w:pPr>
        <w:spacing w:before="6"/>
        <w:jc w:val="both"/>
        <w:rPr>
          <w:sz w:val="24"/>
          <w:szCs w:val="24"/>
        </w:rPr>
      </w:pPr>
    </w:p>
    <w:tbl>
      <w:tblPr>
        <w:tblStyle w:val="a3"/>
        <w:tblW w:w="35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815"/>
        <w:gridCol w:w="1725"/>
      </w:tblGrid>
      <w:tr w:rsidR="002B7109">
        <w:trPr>
          <w:trHeight w:val="300"/>
        </w:trPr>
        <w:tc>
          <w:tcPr>
            <w:tcW w:w="1815" w:type="dxa"/>
            <w:tcBorders>
              <w:top w:val="single" w:sz="8" w:space="0" w:color="000000"/>
              <w:left w:val="single" w:sz="8" w:space="0" w:color="000000"/>
              <w:bottom w:val="single" w:sz="8" w:space="0" w:color="000000"/>
              <w:right w:val="single" w:sz="8" w:space="0" w:color="000000"/>
            </w:tcBorders>
            <w:shd w:val="clear" w:color="auto" w:fill="D9EAD3"/>
            <w:tcMar>
              <w:top w:w="0" w:type="dxa"/>
              <w:left w:w="40" w:type="dxa"/>
              <w:bottom w:w="0" w:type="dxa"/>
              <w:right w:w="40" w:type="dxa"/>
            </w:tcMar>
            <w:vAlign w:val="bottom"/>
          </w:tcPr>
          <w:p w:rsidR="002B7109" w:rsidRDefault="007C57E1">
            <w:pPr>
              <w:spacing w:line="276" w:lineRule="auto"/>
              <w:rPr>
                <w:sz w:val="20"/>
                <w:szCs w:val="20"/>
              </w:rPr>
            </w:pPr>
            <w:r>
              <w:rPr>
                <w:b/>
                <w:sz w:val="24"/>
                <w:szCs w:val="24"/>
              </w:rPr>
              <w:t xml:space="preserve">   Rango etario</w:t>
            </w:r>
          </w:p>
        </w:tc>
        <w:tc>
          <w:tcPr>
            <w:tcW w:w="1725" w:type="dxa"/>
            <w:tcBorders>
              <w:top w:val="single" w:sz="8" w:space="0" w:color="000000"/>
              <w:left w:val="single" w:sz="8" w:space="0" w:color="CCCCCC"/>
              <w:bottom w:val="single" w:sz="8" w:space="0" w:color="000000"/>
              <w:right w:val="single" w:sz="8" w:space="0" w:color="000000"/>
            </w:tcBorders>
            <w:shd w:val="clear" w:color="auto" w:fill="D9EAD3"/>
            <w:tcMar>
              <w:top w:w="0" w:type="dxa"/>
              <w:left w:w="40" w:type="dxa"/>
              <w:bottom w:w="0" w:type="dxa"/>
              <w:right w:w="40" w:type="dxa"/>
            </w:tcMar>
            <w:vAlign w:val="bottom"/>
          </w:tcPr>
          <w:p w:rsidR="002B7109" w:rsidRDefault="007C57E1">
            <w:pPr>
              <w:spacing w:line="276" w:lineRule="auto"/>
              <w:rPr>
                <w:sz w:val="20"/>
                <w:szCs w:val="20"/>
              </w:rPr>
            </w:pPr>
            <w:r>
              <w:rPr>
                <w:b/>
                <w:sz w:val="24"/>
                <w:szCs w:val="24"/>
              </w:rPr>
              <w:t xml:space="preserve">Cantidad de casos </w:t>
            </w:r>
          </w:p>
        </w:tc>
      </w:tr>
      <w:tr w:rsidR="002B7109">
        <w:trPr>
          <w:trHeight w:val="300"/>
        </w:trPr>
        <w:tc>
          <w:tcPr>
            <w:tcW w:w="181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rPr>
                <w:sz w:val="20"/>
                <w:szCs w:val="20"/>
              </w:rPr>
            </w:pPr>
            <w:r>
              <w:rPr>
                <w:sz w:val="24"/>
                <w:szCs w:val="24"/>
              </w:rPr>
              <w:t>14-24</w:t>
            </w:r>
          </w:p>
        </w:tc>
        <w:tc>
          <w:tcPr>
            <w:tcW w:w="1725"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jc w:val="right"/>
              <w:rPr>
                <w:sz w:val="20"/>
                <w:szCs w:val="20"/>
              </w:rPr>
            </w:pPr>
            <w:r>
              <w:rPr>
                <w:sz w:val="20"/>
                <w:szCs w:val="20"/>
              </w:rPr>
              <w:t>176</w:t>
            </w:r>
          </w:p>
        </w:tc>
      </w:tr>
      <w:tr w:rsidR="002B7109">
        <w:trPr>
          <w:trHeight w:val="300"/>
        </w:trPr>
        <w:tc>
          <w:tcPr>
            <w:tcW w:w="181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rPr>
                <w:sz w:val="20"/>
                <w:szCs w:val="20"/>
              </w:rPr>
            </w:pPr>
            <w:r>
              <w:rPr>
                <w:sz w:val="24"/>
                <w:szCs w:val="24"/>
              </w:rPr>
              <w:t>25-35</w:t>
            </w:r>
          </w:p>
        </w:tc>
        <w:tc>
          <w:tcPr>
            <w:tcW w:w="1725"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rPr>
                <w:sz w:val="20"/>
                <w:szCs w:val="20"/>
              </w:rPr>
            </w:pPr>
            <w:r>
              <w:rPr>
                <w:sz w:val="20"/>
                <w:szCs w:val="20"/>
              </w:rPr>
              <w:t xml:space="preserve">                             446</w:t>
            </w:r>
          </w:p>
        </w:tc>
      </w:tr>
      <w:tr w:rsidR="002B7109">
        <w:trPr>
          <w:trHeight w:val="300"/>
        </w:trPr>
        <w:tc>
          <w:tcPr>
            <w:tcW w:w="181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rPr>
                <w:sz w:val="20"/>
                <w:szCs w:val="20"/>
              </w:rPr>
            </w:pPr>
            <w:r>
              <w:rPr>
                <w:sz w:val="24"/>
                <w:szCs w:val="24"/>
              </w:rPr>
              <w:t>36-46</w:t>
            </w:r>
          </w:p>
        </w:tc>
        <w:tc>
          <w:tcPr>
            <w:tcW w:w="1725"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jc w:val="right"/>
              <w:rPr>
                <w:sz w:val="20"/>
                <w:szCs w:val="20"/>
              </w:rPr>
            </w:pPr>
            <w:r>
              <w:rPr>
                <w:sz w:val="20"/>
                <w:szCs w:val="20"/>
              </w:rPr>
              <w:t>273</w:t>
            </w:r>
          </w:p>
        </w:tc>
      </w:tr>
      <w:tr w:rsidR="002B7109">
        <w:trPr>
          <w:trHeight w:val="300"/>
        </w:trPr>
        <w:tc>
          <w:tcPr>
            <w:tcW w:w="181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rPr>
                <w:sz w:val="20"/>
                <w:szCs w:val="20"/>
              </w:rPr>
            </w:pPr>
            <w:r>
              <w:rPr>
                <w:sz w:val="24"/>
                <w:szCs w:val="24"/>
              </w:rPr>
              <w:t>47-57</w:t>
            </w:r>
          </w:p>
        </w:tc>
        <w:tc>
          <w:tcPr>
            <w:tcW w:w="1725"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jc w:val="right"/>
              <w:rPr>
                <w:sz w:val="20"/>
                <w:szCs w:val="20"/>
              </w:rPr>
            </w:pPr>
            <w:r>
              <w:rPr>
                <w:sz w:val="20"/>
                <w:szCs w:val="20"/>
              </w:rPr>
              <w:t>106</w:t>
            </w:r>
          </w:p>
        </w:tc>
      </w:tr>
      <w:tr w:rsidR="002B7109">
        <w:trPr>
          <w:trHeight w:val="300"/>
        </w:trPr>
        <w:tc>
          <w:tcPr>
            <w:tcW w:w="181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rPr>
                <w:sz w:val="20"/>
                <w:szCs w:val="20"/>
              </w:rPr>
            </w:pPr>
            <w:r>
              <w:rPr>
                <w:sz w:val="24"/>
                <w:szCs w:val="24"/>
              </w:rPr>
              <w:t>58-68</w:t>
            </w:r>
          </w:p>
        </w:tc>
        <w:tc>
          <w:tcPr>
            <w:tcW w:w="1725"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jc w:val="right"/>
              <w:rPr>
                <w:sz w:val="20"/>
                <w:szCs w:val="20"/>
              </w:rPr>
            </w:pPr>
            <w:r>
              <w:rPr>
                <w:sz w:val="20"/>
                <w:szCs w:val="20"/>
              </w:rPr>
              <w:t>35</w:t>
            </w:r>
          </w:p>
        </w:tc>
      </w:tr>
      <w:tr w:rsidR="002B7109">
        <w:trPr>
          <w:trHeight w:val="300"/>
        </w:trPr>
        <w:tc>
          <w:tcPr>
            <w:tcW w:w="181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rPr>
                <w:sz w:val="20"/>
                <w:szCs w:val="20"/>
              </w:rPr>
            </w:pPr>
            <w:r>
              <w:rPr>
                <w:sz w:val="24"/>
                <w:szCs w:val="24"/>
              </w:rPr>
              <w:t>69 y más</w:t>
            </w:r>
          </w:p>
        </w:tc>
        <w:tc>
          <w:tcPr>
            <w:tcW w:w="1725"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jc w:val="right"/>
              <w:rPr>
                <w:sz w:val="20"/>
                <w:szCs w:val="20"/>
              </w:rPr>
            </w:pPr>
            <w:r>
              <w:rPr>
                <w:sz w:val="20"/>
                <w:szCs w:val="20"/>
              </w:rPr>
              <w:t>7</w:t>
            </w:r>
          </w:p>
        </w:tc>
      </w:tr>
      <w:tr w:rsidR="002B7109">
        <w:trPr>
          <w:trHeight w:val="300"/>
        </w:trPr>
        <w:tc>
          <w:tcPr>
            <w:tcW w:w="181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rPr>
                <w:sz w:val="20"/>
                <w:szCs w:val="20"/>
              </w:rPr>
            </w:pPr>
            <w:r>
              <w:rPr>
                <w:sz w:val="24"/>
                <w:szCs w:val="24"/>
              </w:rPr>
              <w:t>S/D</w:t>
            </w:r>
          </w:p>
        </w:tc>
        <w:tc>
          <w:tcPr>
            <w:tcW w:w="1725"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jc w:val="right"/>
              <w:rPr>
                <w:sz w:val="20"/>
                <w:szCs w:val="20"/>
              </w:rPr>
            </w:pPr>
            <w:r>
              <w:rPr>
                <w:sz w:val="20"/>
                <w:szCs w:val="20"/>
              </w:rPr>
              <w:t>121</w:t>
            </w:r>
          </w:p>
        </w:tc>
      </w:tr>
      <w:tr w:rsidR="002B7109">
        <w:trPr>
          <w:trHeight w:val="270"/>
        </w:trPr>
        <w:tc>
          <w:tcPr>
            <w:tcW w:w="1815" w:type="dxa"/>
            <w:tcBorders>
              <w:top w:val="single" w:sz="8" w:space="0" w:color="CCCCCC"/>
              <w:left w:val="single" w:sz="8" w:space="0" w:color="000000"/>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rPr>
                <w:sz w:val="20"/>
                <w:szCs w:val="20"/>
              </w:rPr>
            </w:pPr>
            <w:r>
              <w:rPr>
                <w:sz w:val="20"/>
                <w:szCs w:val="20"/>
              </w:rPr>
              <w:t>Total</w:t>
            </w:r>
          </w:p>
        </w:tc>
        <w:tc>
          <w:tcPr>
            <w:tcW w:w="1725" w:type="dxa"/>
            <w:tcBorders>
              <w:top w:val="single" w:sz="8" w:space="0" w:color="CCCCCC"/>
              <w:left w:val="single" w:sz="8" w:space="0" w:color="CCCCCC"/>
              <w:bottom w:val="single" w:sz="8" w:space="0" w:color="000000"/>
              <w:right w:val="single" w:sz="8" w:space="0" w:color="000000"/>
            </w:tcBorders>
            <w:tcMar>
              <w:top w:w="0" w:type="dxa"/>
              <w:left w:w="40" w:type="dxa"/>
              <w:bottom w:w="0" w:type="dxa"/>
              <w:right w:w="40" w:type="dxa"/>
            </w:tcMar>
            <w:vAlign w:val="bottom"/>
          </w:tcPr>
          <w:p w:rsidR="002B7109" w:rsidRDefault="007C57E1">
            <w:pPr>
              <w:spacing w:line="276" w:lineRule="auto"/>
              <w:jc w:val="right"/>
              <w:rPr>
                <w:b/>
                <w:sz w:val="20"/>
                <w:szCs w:val="20"/>
              </w:rPr>
            </w:pPr>
            <w:r>
              <w:rPr>
                <w:b/>
                <w:sz w:val="20"/>
                <w:szCs w:val="20"/>
              </w:rPr>
              <w:t>1271</w:t>
            </w:r>
          </w:p>
        </w:tc>
      </w:tr>
    </w:tbl>
    <w:p w:rsidR="002B7109" w:rsidRDefault="002B7109">
      <w:pPr>
        <w:jc w:val="both"/>
        <w:rPr>
          <w:sz w:val="20"/>
          <w:szCs w:val="20"/>
        </w:rPr>
      </w:pPr>
    </w:p>
    <w:p w:rsidR="002B7109" w:rsidRDefault="007C57E1">
      <w:pPr>
        <w:jc w:val="both"/>
        <w:rPr>
          <w:b/>
          <w:sz w:val="24"/>
          <w:szCs w:val="24"/>
        </w:rPr>
      </w:pPr>
      <w:r>
        <w:rPr>
          <w:sz w:val="20"/>
          <w:szCs w:val="20"/>
        </w:rPr>
        <w:lastRenderedPageBreak/>
        <w:t>Fuente: Elaborado por Observatorio de Género y Diversidad de la Dirección de Género y Diversidad, Ministerio de Salud, Desarrollo Social y Deportes, sobre la base de datos del RUC. Mendoza. Octubre, 2021</w:t>
      </w:r>
    </w:p>
    <w:p w:rsidR="002B7109" w:rsidRDefault="002B7109">
      <w:pPr>
        <w:spacing w:before="6"/>
        <w:jc w:val="both"/>
        <w:rPr>
          <w:b/>
          <w:sz w:val="24"/>
          <w:szCs w:val="24"/>
        </w:rPr>
      </w:pPr>
    </w:p>
    <w:p w:rsidR="002B7109" w:rsidRDefault="007C57E1">
      <w:pPr>
        <w:tabs>
          <w:tab w:val="left" w:pos="8755"/>
        </w:tabs>
        <w:jc w:val="both"/>
        <w:rPr>
          <w:b/>
          <w:sz w:val="28"/>
          <w:szCs w:val="28"/>
        </w:rPr>
      </w:pPr>
      <w:r>
        <w:rPr>
          <w:b/>
          <w:sz w:val="28"/>
          <w:szCs w:val="28"/>
        </w:rPr>
        <w:t>Vínculo con el agresor</w:t>
      </w:r>
    </w:p>
    <w:p w:rsidR="002B7109" w:rsidRDefault="007C57E1">
      <w:pPr>
        <w:pBdr>
          <w:top w:val="nil"/>
          <w:left w:val="nil"/>
          <w:bottom w:val="nil"/>
          <w:right w:val="nil"/>
          <w:between w:val="nil"/>
        </w:pBdr>
        <w:spacing w:before="190"/>
        <w:ind w:right="140"/>
        <w:jc w:val="both"/>
        <w:rPr>
          <w:color w:val="000000"/>
          <w:sz w:val="24"/>
          <w:szCs w:val="24"/>
        </w:rPr>
      </w:pPr>
      <w:r>
        <w:rPr>
          <w:color w:val="000000"/>
          <w:sz w:val="24"/>
          <w:szCs w:val="24"/>
        </w:rPr>
        <w:t xml:space="preserve">Una variable por demás significativa en orden analizar la violencia doméstica es el vínculo de la persona en situación de violencia doméstica con el agresor. En </w:t>
      </w:r>
      <w:r>
        <w:rPr>
          <w:sz w:val="24"/>
          <w:szCs w:val="24"/>
        </w:rPr>
        <w:t>l</w:t>
      </w:r>
      <w:r>
        <w:rPr>
          <w:color w:val="000000"/>
          <w:sz w:val="24"/>
          <w:szCs w:val="24"/>
        </w:rPr>
        <w:t xml:space="preserve">os datos relevados en el presente informe, se puede apreciar que </w:t>
      </w:r>
      <w:r>
        <w:rPr>
          <w:sz w:val="24"/>
          <w:szCs w:val="24"/>
        </w:rPr>
        <w:t>l</w:t>
      </w:r>
      <w:r>
        <w:rPr>
          <w:color w:val="000000"/>
          <w:sz w:val="24"/>
          <w:szCs w:val="24"/>
        </w:rPr>
        <w:t>a mayo</w:t>
      </w:r>
      <w:r>
        <w:rPr>
          <w:sz w:val="24"/>
          <w:szCs w:val="24"/>
        </w:rPr>
        <w:t xml:space="preserve">r cantidad </w:t>
      </w:r>
      <w:r>
        <w:rPr>
          <w:color w:val="000000"/>
          <w:sz w:val="24"/>
          <w:szCs w:val="24"/>
        </w:rPr>
        <w:t>de</w:t>
      </w:r>
      <w:r>
        <w:rPr>
          <w:sz w:val="24"/>
          <w:szCs w:val="24"/>
        </w:rPr>
        <w:t xml:space="preserve"> </w:t>
      </w:r>
      <w:r>
        <w:rPr>
          <w:color w:val="000000"/>
          <w:sz w:val="24"/>
          <w:szCs w:val="24"/>
        </w:rPr>
        <w:t xml:space="preserve">mujeres que sufren violencia es por parte de su </w:t>
      </w:r>
      <w:r>
        <w:rPr>
          <w:b/>
          <w:color w:val="000000"/>
          <w:sz w:val="24"/>
          <w:szCs w:val="24"/>
        </w:rPr>
        <w:t>ex pareja conviviente (594 ca</w:t>
      </w:r>
      <w:r>
        <w:rPr>
          <w:b/>
          <w:sz w:val="24"/>
          <w:szCs w:val="24"/>
        </w:rPr>
        <w:t>sos)</w:t>
      </w:r>
      <w:r>
        <w:rPr>
          <w:b/>
          <w:color w:val="000000"/>
          <w:sz w:val="24"/>
          <w:szCs w:val="24"/>
        </w:rPr>
        <w:t>, cónyuge (191 casos)</w:t>
      </w:r>
      <w:r>
        <w:rPr>
          <w:sz w:val="24"/>
          <w:szCs w:val="24"/>
        </w:rPr>
        <w:t xml:space="preserve"> y en tercer lugar, </w:t>
      </w:r>
      <w:r>
        <w:rPr>
          <w:color w:val="000000"/>
          <w:sz w:val="24"/>
          <w:szCs w:val="24"/>
        </w:rPr>
        <w:t xml:space="preserve">por </w:t>
      </w:r>
      <w:r>
        <w:rPr>
          <w:b/>
          <w:color w:val="000000"/>
          <w:sz w:val="24"/>
          <w:szCs w:val="24"/>
        </w:rPr>
        <w:t xml:space="preserve">ex </w:t>
      </w:r>
      <w:r>
        <w:rPr>
          <w:b/>
          <w:sz w:val="24"/>
          <w:szCs w:val="24"/>
        </w:rPr>
        <w:t>cónyuge</w:t>
      </w:r>
      <w:r>
        <w:rPr>
          <w:b/>
          <w:color w:val="000000"/>
          <w:sz w:val="24"/>
          <w:szCs w:val="24"/>
        </w:rPr>
        <w:t xml:space="preserve"> (163 casos).</w:t>
      </w:r>
      <w:r>
        <w:rPr>
          <w:color w:val="000000"/>
          <w:sz w:val="24"/>
          <w:szCs w:val="24"/>
        </w:rPr>
        <w:t xml:space="preserve"> </w:t>
      </w:r>
    </w:p>
    <w:p w:rsidR="002B7109" w:rsidRDefault="007C57E1">
      <w:pPr>
        <w:pBdr>
          <w:top w:val="nil"/>
          <w:left w:val="nil"/>
          <w:bottom w:val="nil"/>
          <w:right w:val="nil"/>
          <w:between w:val="nil"/>
        </w:pBdr>
        <w:spacing w:before="152"/>
        <w:jc w:val="both"/>
        <w:rPr>
          <w:color w:val="000000"/>
          <w:sz w:val="24"/>
          <w:szCs w:val="24"/>
        </w:rPr>
      </w:pPr>
      <w:r>
        <w:rPr>
          <w:color w:val="000000"/>
          <w:sz w:val="24"/>
          <w:szCs w:val="24"/>
        </w:rPr>
        <w:t xml:space="preserve">Se observa que el mayor volumen de casos corresponde a </w:t>
      </w:r>
      <w:r>
        <w:rPr>
          <w:sz w:val="24"/>
          <w:szCs w:val="24"/>
        </w:rPr>
        <w:t>e</w:t>
      </w:r>
      <w:r>
        <w:rPr>
          <w:color w:val="000000"/>
          <w:sz w:val="24"/>
          <w:szCs w:val="24"/>
        </w:rPr>
        <w:t xml:space="preserve">x pareja conviviente y ex cónyuges. Esto refuerza la idea de que la situación de violencia </w:t>
      </w:r>
      <w:r>
        <w:rPr>
          <w:b/>
          <w:color w:val="000000"/>
          <w:sz w:val="24"/>
          <w:szCs w:val="24"/>
        </w:rPr>
        <w:t>no se agota con la separación del agresor</w:t>
      </w:r>
      <w:r>
        <w:rPr>
          <w:color w:val="000000"/>
          <w:sz w:val="24"/>
          <w:szCs w:val="24"/>
        </w:rPr>
        <w:t xml:space="preserve">, sino que por el contrario, persiste y se agudiza. </w:t>
      </w:r>
    </w:p>
    <w:p w:rsidR="002B7109" w:rsidRDefault="002B7109">
      <w:pPr>
        <w:pBdr>
          <w:top w:val="nil"/>
          <w:left w:val="nil"/>
          <w:bottom w:val="nil"/>
          <w:right w:val="nil"/>
          <w:between w:val="nil"/>
        </w:pBdr>
        <w:ind w:hanging="283"/>
        <w:jc w:val="both"/>
        <w:rPr>
          <w:sz w:val="24"/>
          <w:szCs w:val="24"/>
        </w:rPr>
      </w:pPr>
    </w:p>
    <w:p w:rsidR="002B7109" w:rsidRDefault="007C57E1">
      <w:pPr>
        <w:ind w:left="28" w:right="1040"/>
        <w:jc w:val="both"/>
        <w:rPr>
          <w:b/>
          <w:sz w:val="28"/>
          <w:szCs w:val="28"/>
        </w:rPr>
      </w:pPr>
      <w:r>
        <w:rPr>
          <w:b/>
          <w:sz w:val="28"/>
          <w:szCs w:val="28"/>
        </w:rPr>
        <w:t xml:space="preserve">Disponibilidad habitacional </w:t>
      </w:r>
    </w:p>
    <w:p w:rsidR="002B7109" w:rsidRDefault="007C57E1">
      <w:pPr>
        <w:pBdr>
          <w:top w:val="nil"/>
          <w:left w:val="nil"/>
          <w:bottom w:val="nil"/>
          <w:right w:val="nil"/>
          <w:between w:val="nil"/>
        </w:pBdr>
        <w:spacing w:before="52"/>
        <w:jc w:val="both"/>
        <w:rPr>
          <w:color w:val="000000"/>
          <w:sz w:val="24"/>
          <w:szCs w:val="24"/>
        </w:rPr>
      </w:pPr>
      <w:r>
        <w:rPr>
          <w:color w:val="000000"/>
          <w:sz w:val="24"/>
          <w:szCs w:val="24"/>
        </w:rPr>
        <w:t xml:space="preserve">Esta categoría nos pone en evidencia que </w:t>
      </w:r>
      <w:r>
        <w:rPr>
          <w:color w:val="000000"/>
          <w:sz w:val="24"/>
          <w:szCs w:val="24"/>
        </w:rPr>
        <w:t>la situación de una mujer con casa propia o con disponibilidad habitacional propia, es superior a la de quién vive en una vivienda alquilada, cedida o prestada. Esta superioridad tiene varias dimensiones para tener en cuenta en momentos cruciales para romp</w:t>
      </w:r>
      <w:r>
        <w:rPr>
          <w:color w:val="000000"/>
          <w:sz w:val="24"/>
          <w:szCs w:val="24"/>
        </w:rPr>
        <w:t>er con el círculo de la violencia, a saber: la vivienda brinda seguridad económica en tiempos de incertidumbre, porque permite destinar la misma a la generación de ingresos y promueve pertenencia a redes en la comunidad.</w:t>
      </w:r>
    </w:p>
    <w:p w:rsidR="002B7109" w:rsidRDefault="002B7109">
      <w:pPr>
        <w:pBdr>
          <w:top w:val="nil"/>
          <w:left w:val="nil"/>
          <w:bottom w:val="nil"/>
          <w:right w:val="nil"/>
          <w:between w:val="nil"/>
        </w:pBdr>
        <w:jc w:val="both"/>
        <w:rPr>
          <w:color w:val="000000"/>
          <w:sz w:val="24"/>
          <w:szCs w:val="24"/>
        </w:rPr>
      </w:pPr>
    </w:p>
    <w:p w:rsidR="002B7109" w:rsidRDefault="007C57E1">
      <w:pPr>
        <w:pBdr>
          <w:top w:val="nil"/>
          <w:left w:val="nil"/>
          <w:bottom w:val="nil"/>
          <w:right w:val="nil"/>
          <w:between w:val="nil"/>
        </w:pBdr>
        <w:jc w:val="both"/>
        <w:rPr>
          <w:color w:val="000000"/>
          <w:sz w:val="24"/>
          <w:szCs w:val="24"/>
        </w:rPr>
      </w:pPr>
      <w:r>
        <w:rPr>
          <w:color w:val="000000"/>
          <w:sz w:val="24"/>
          <w:szCs w:val="24"/>
        </w:rPr>
        <w:t>La vivienda propia y en especial la existencia de un título de propiedad a nombre de la mujer le permite entonces, navegar con menos riesgo cuando decide desvincularse de la situación de violencia. La vivienda propia o tener un lugar adonde acudir brinda a</w:t>
      </w:r>
      <w:r>
        <w:rPr>
          <w:color w:val="000000"/>
          <w:sz w:val="24"/>
          <w:szCs w:val="24"/>
        </w:rPr>
        <w:t xml:space="preserve"> la mujer seguridad frente a la incertidumbre económica y pertenencia comunitaria.</w:t>
      </w:r>
    </w:p>
    <w:p w:rsidR="002B7109" w:rsidRDefault="002B7109">
      <w:pPr>
        <w:pBdr>
          <w:top w:val="nil"/>
          <w:left w:val="nil"/>
          <w:bottom w:val="nil"/>
          <w:right w:val="nil"/>
          <w:between w:val="nil"/>
        </w:pBdr>
        <w:jc w:val="both"/>
        <w:rPr>
          <w:color w:val="000000"/>
          <w:sz w:val="24"/>
          <w:szCs w:val="24"/>
        </w:rPr>
      </w:pPr>
    </w:p>
    <w:p w:rsidR="002B7109" w:rsidRDefault="007C57E1">
      <w:pPr>
        <w:pBdr>
          <w:top w:val="nil"/>
          <w:left w:val="nil"/>
          <w:bottom w:val="nil"/>
          <w:right w:val="nil"/>
          <w:between w:val="nil"/>
        </w:pBdr>
        <w:jc w:val="both"/>
        <w:rPr>
          <w:color w:val="000000"/>
          <w:sz w:val="24"/>
          <w:szCs w:val="24"/>
        </w:rPr>
      </w:pPr>
      <w:r>
        <w:rPr>
          <w:color w:val="000000"/>
          <w:sz w:val="24"/>
          <w:szCs w:val="24"/>
        </w:rPr>
        <w:t>La razón por la cual se argumenta que la disponibilidad habitacional es un recurso que actúa como factor de protección frente a la violencia doméstica, es porque fomenta la</w:t>
      </w:r>
      <w:r>
        <w:rPr>
          <w:color w:val="000000"/>
          <w:sz w:val="24"/>
          <w:szCs w:val="24"/>
        </w:rPr>
        <w:t xml:space="preserve"> autonomía femenina: las mujeres con mayores recursos propios tienen mayores opciones al enfrentarse a situaciones violentas.</w:t>
      </w:r>
      <w:r>
        <w:rPr>
          <w:sz w:val="24"/>
          <w:szCs w:val="24"/>
        </w:rPr>
        <w:t xml:space="preserve"> </w:t>
      </w:r>
      <w:r>
        <w:rPr>
          <w:color w:val="000000"/>
          <w:sz w:val="24"/>
          <w:szCs w:val="24"/>
        </w:rPr>
        <w:t xml:space="preserve">Sin embargo, es complejo afirmar que este recurso por sí mismo provee autonomía o que su ausencia la disminuye. Son evidentes los </w:t>
      </w:r>
      <w:r>
        <w:rPr>
          <w:color w:val="000000"/>
          <w:sz w:val="24"/>
          <w:szCs w:val="24"/>
        </w:rPr>
        <w:t xml:space="preserve">múltiples problemas que surgen para las mujeres que </w:t>
      </w:r>
      <w:proofErr w:type="spellStart"/>
      <w:r>
        <w:rPr>
          <w:sz w:val="24"/>
          <w:szCs w:val="24"/>
        </w:rPr>
        <w:t>aún</w:t>
      </w:r>
      <w:proofErr w:type="spellEnd"/>
      <w:r>
        <w:rPr>
          <w:color w:val="000000"/>
          <w:sz w:val="24"/>
          <w:szCs w:val="24"/>
        </w:rPr>
        <w:t xml:space="preserve"> teniéndolos no logran traducirlo en mayor autonomía o menor violencia.</w:t>
      </w:r>
    </w:p>
    <w:p w:rsidR="002B7109" w:rsidRDefault="002B7109">
      <w:pPr>
        <w:pBdr>
          <w:top w:val="nil"/>
          <w:left w:val="nil"/>
          <w:bottom w:val="nil"/>
          <w:right w:val="nil"/>
          <w:between w:val="nil"/>
        </w:pBdr>
        <w:jc w:val="both"/>
        <w:rPr>
          <w:sz w:val="24"/>
          <w:szCs w:val="24"/>
        </w:rPr>
      </w:pPr>
    </w:p>
    <w:p w:rsidR="002B7109" w:rsidRDefault="007C57E1">
      <w:pPr>
        <w:pBdr>
          <w:top w:val="nil"/>
          <w:left w:val="nil"/>
          <w:bottom w:val="nil"/>
          <w:right w:val="nil"/>
          <w:between w:val="nil"/>
        </w:pBdr>
        <w:jc w:val="both"/>
        <w:rPr>
          <w:sz w:val="24"/>
          <w:szCs w:val="24"/>
        </w:rPr>
      </w:pPr>
      <w:r>
        <w:rPr>
          <w:noProof/>
          <w:sz w:val="24"/>
          <w:szCs w:val="24"/>
          <w:lang w:val="es-AR"/>
        </w:rPr>
        <w:lastRenderedPageBreak/>
        <w:drawing>
          <wp:inline distT="114300" distB="114300" distL="114300" distR="114300">
            <wp:extent cx="6387150" cy="3949700"/>
            <wp:effectExtent l="0" t="0" r="0" b="0"/>
            <wp:docPr id="12" name="image1.png" descr="Gráfico"/>
            <wp:cNvGraphicFramePr/>
            <a:graphic xmlns:a="http://schemas.openxmlformats.org/drawingml/2006/main">
              <a:graphicData uri="http://schemas.openxmlformats.org/drawingml/2006/picture">
                <pic:pic xmlns:pic="http://schemas.openxmlformats.org/drawingml/2006/picture">
                  <pic:nvPicPr>
                    <pic:cNvPr id="0" name="image1.png" descr="Gráfico"/>
                    <pic:cNvPicPr preferRelativeResize="0"/>
                  </pic:nvPicPr>
                  <pic:blipFill>
                    <a:blip r:embed="rId11"/>
                    <a:srcRect/>
                    <a:stretch>
                      <a:fillRect/>
                    </a:stretch>
                  </pic:blipFill>
                  <pic:spPr>
                    <a:xfrm>
                      <a:off x="0" y="0"/>
                      <a:ext cx="6387150" cy="3949700"/>
                    </a:xfrm>
                    <a:prstGeom prst="rect">
                      <a:avLst/>
                    </a:prstGeom>
                    <a:ln/>
                  </pic:spPr>
                </pic:pic>
              </a:graphicData>
            </a:graphic>
          </wp:inline>
        </w:drawing>
      </w:r>
    </w:p>
    <w:p w:rsidR="002B7109" w:rsidRDefault="007C57E1">
      <w:pPr>
        <w:pBdr>
          <w:top w:val="nil"/>
          <w:left w:val="nil"/>
          <w:bottom w:val="nil"/>
          <w:right w:val="nil"/>
          <w:between w:val="nil"/>
        </w:pBdr>
        <w:jc w:val="both"/>
        <w:rPr>
          <w:color w:val="000000"/>
          <w:sz w:val="18"/>
          <w:szCs w:val="18"/>
        </w:rPr>
      </w:pPr>
      <w:r>
        <w:rPr>
          <w:color w:val="000000"/>
          <w:sz w:val="18"/>
          <w:szCs w:val="18"/>
        </w:rPr>
        <w:t xml:space="preserve">Fuente: </w:t>
      </w:r>
      <w:r>
        <w:rPr>
          <w:sz w:val="18"/>
          <w:szCs w:val="18"/>
        </w:rPr>
        <w:t>E</w:t>
      </w:r>
      <w:r>
        <w:rPr>
          <w:color w:val="000000"/>
          <w:sz w:val="18"/>
          <w:szCs w:val="18"/>
        </w:rPr>
        <w:t>laborado por Observatorio de Género y Diversidad de la Dirección de Género y Diversidad, Ministerio de Salud, Desarrollo Social y Deportes, sobre la base de datos del RUC. Mendoza. O</w:t>
      </w:r>
      <w:r>
        <w:rPr>
          <w:sz w:val="18"/>
          <w:szCs w:val="18"/>
        </w:rPr>
        <w:t>ctubre</w:t>
      </w:r>
      <w:r>
        <w:rPr>
          <w:sz w:val="20"/>
          <w:szCs w:val="20"/>
        </w:rPr>
        <w:t>, 2021</w:t>
      </w:r>
      <w:r>
        <w:rPr>
          <w:color w:val="000000"/>
          <w:sz w:val="18"/>
          <w:szCs w:val="18"/>
        </w:rPr>
        <w:t>.</w:t>
      </w:r>
    </w:p>
    <w:p w:rsidR="002B7109" w:rsidRDefault="002B7109">
      <w:pPr>
        <w:jc w:val="both"/>
        <w:rPr>
          <w:sz w:val="24"/>
          <w:szCs w:val="24"/>
        </w:rPr>
      </w:pPr>
    </w:p>
    <w:p w:rsidR="002B7109" w:rsidRDefault="007C57E1">
      <w:pPr>
        <w:shd w:val="clear" w:color="auto" w:fill="FFFFFF"/>
        <w:spacing w:before="52"/>
        <w:jc w:val="both"/>
        <w:rPr>
          <w:color w:val="000000"/>
          <w:sz w:val="24"/>
          <w:szCs w:val="24"/>
          <w:shd w:val="clear" w:color="auto" w:fill="E4DFEB"/>
        </w:rPr>
      </w:pPr>
      <w:r>
        <w:rPr>
          <w:sz w:val="24"/>
          <w:szCs w:val="24"/>
        </w:rPr>
        <w:t>En el tercer trimestre del corriente año, 995 mujeres afirm</w:t>
      </w:r>
      <w:r>
        <w:rPr>
          <w:sz w:val="24"/>
          <w:szCs w:val="24"/>
        </w:rPr>
        <w:t xml:space="preserve">aron poseer disponibilidad habitacional, 108 manifestaron no poseer una vivienda y no se obtuvieron datos de 168 mujeres. </w:t>
      </w:r>
      <w:r>
        <w:rPr>
          <w:color w:val="000000"/>
          <w:sz w:val="24"/>
          <w:szCs w:val="24"/>
        </w:rPr>
        <w:t>Est</w:t>
      </w:r>
      <w:r>
        <w:rPr>
          <w:sz w:val="24"/>
          <w:szCs w:val="24"/>
        </w:rPr>
        <w:t>e</w:t>
      </w:r>
      <w:r>
        <w:rPr>
          <w:color w:val="000000"/>
          <w:sz w:val="24"/>
          <w:szCs w:val="24"/>
        </w:rPr>
        <w:t xml:space="preserve"> indicador fundamenta una vez más, la necesidad de contar con recursos habitacionales, refugios, albergues, casas de alquiler, etc</w:t>
      </w:r>
      <w:r>
        <w:rPr>
          <w:color w:val="000000"/>
          <w:sz w:val="24"/>
          <w:szCs w:val="24"/>
        </w:rPr>
        <w:t xml:space="preserve">. para </w:t>
      </w:r>
      <w:r>
        <w:rPr>
          <w:sz w:val="24"/>
          <w:szCs w:val="24"/>
        </w:rPr>
        <w:t>proveer</w:t>
      </w:r>
      <w:r>
        <w:rPr>
          <w:color w:val="000000"/>
          <w:sz w:val="24"/>
          <w:szCs w:val="24"/>
        </w:rPr>
        <w:t xml:space="preserve"> a las mujeres</w:t>
      </w:r>
      <w:r>
        <w:rPr>
          <w:sz w:val="24"/>
          <w:szCs w:val="24"/>
        </w:rPr>
        <w:t xml:space="preserve"> </w:t>
      </w:r>
      <w:r>
        <w:rPr>
          <w:color w:val="000000"/>
          <w:sz w:val="24"/>
          <w:szCs w:val="24"/>
        </w:rPr>
        <w:t>de modo transitorio</w:t>
      </w:r>
      <w:r>
        <w:rPr>
          <w:sz w:val="24"/>
          <w:szCs w:val="24"/>
        </w:rPr>
        <w:t xml:space="preserve"> respuesta </w:t>
      </w:r>
      <w:r>
        <w:rPr>
          <w:color w:val="000000"/>
          <w:sz w:val="24"/>
          <w:szCs w:val="24"/>
        </w:rPr>
        <w:t>ante situaciones de violencia.</w:t>
      </w:r>
    </w:p>
    <w:p w:rsidR="002B7109" w:rsidRDefault="002B7109">
      <w:pPr>
        <w:rPr>
          <w:color w:val="000000"/>
          <w:sz w:val="24"/>
          <w:szCs w:val="24"/>
        </w:rPr>
      </w:pPr>
    </w:p>
    <w:sectPr w:rsidR="002B7109">
      <w:footerReference w:type="default" r:id="rId12"/>
      <w:pgSz w:w="11910" w:h="16840"/>
      <w:pgMar w:top="1440" w:right="767" w:bottom="1440" w:left="1080" w:header="720" w:footer="9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E1" w:rsidRDefault="007C57E1">
      <w:r>
        <w:separator/>
      </w:r>
    </w:p>
  </w:endnote>
  <w:endnote w:type="continuationSeparator" w:id="0">
    <w:p w:rsidR="007C57E1" w:rsidRDefault="007C5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09" w:rsidRDefault="007C57E1">
    <w:pPr>
      <w:rPr>
        <w:color w:val="000000"/>
        <w:sz w:val="20"/>
        <w:szCs w:val="20"/>
      </w:rPr>
    </w:pPr>
    <w:r>
      <w:rPr>
        <w:b/>
        <w:noProof/>
        <w:sz w:val="20"/>
        <w:szCs w:val="20"/>
        <w:lang w:val="es-AR"/>
      </w:rPr>
      <w:drawing>
        <wp:inline distT="114300" distB="114300" distL="114300" distR="114300">
          <wp:extent cx="6387150" cy="69850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6387150" cy="6985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E1" w:rsidRDefault="007C57E1">
      <w:r>
        <w:separator/>
      </w:r>
    </w:p>
  </w:footnote>
  <w:footnote w:type="continuationSeparator" w:id="0">
    <w:p w:rsidR="007C57E1" w:rsidRDefault="007C5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F1673"/>
    <w:multiLevelType w:val="multilevel"/>
    <w:tmpl w:val="CBEA73A6"/>
    <w:lvl w:ilvl="0">
      <w:start w:val="1"/>
      <w:numFmt w:val="bullet"/>
      <w:lvlText w:val="●"/>
      <w:lvlJc w:val="left"/>
      <w:pPr>
        <w:ind w:left="942" w:hanging="360"/>
      </w:pPr>
      <w:rPr>
        <w:rFonts w:ascii="Noto Sans Symbols" w:eastAsia="Noto Sans Symbols" w:hAnsi="Noto Sans Symbols" w:cs="Noto Sans Symbols"/>
        <w:sz w:val="24"/>
        <w:szCs w:val="24"/>
      </w:rPr>
    </w:lvl>
    <w:lvl w:ilvl="1">
      <w:start w:val="1"/>
      <w:numFmt w:val="bullet"/>
      <w:lvlText w:val="•"/>
      <w:lvlJc w:val="left"/>
      <w:pPr>
        <w:ind w:left="1856" w:hanging="360"/>
      </w:pPr>
    </w:lvl>
    <w:lvl w:ilvl="2">
      <w:start w:val="1"/>
      <w:numFmt w:val="bullet"/>
      <w:lvlText w:val="•"/>
      <w:lvlJc w:val="left"/>
      <w:pPr>
        <w:ind w:left="2773" w:hanging="360"/>
      </w:pPr>
    </w:lvl>
    <w:lvl w:ilvl="3">
      <w:start w:val="1"/>
      <w:numFmt w:val="bullet"/>
      <w:lvlText w:val="•"/>
      <w:lvlJc w:val="left"/>
      <w:pPr>
        <w:ind w:left="3689" w:hanging="360"/>
      </w:pPr>
    </w:lvl>
    <w:lvl w:ilvl="4">
      <w:start w:val="1"/>
      <w:numFmt w:val="bullet"/>
      <w:lvlText w:val="•"/>
      <w:lvlJc w:val="left"/>
      <w:pPr>
        <w:ind w:left="4606" w:hanging="360"/>
      </w:pPr>
    </w:lvl>
    <w:lvl w:ilvl="5">
      <w:start w:val="1"/>
      <w:numFmt w:val="bullet"/>
      <w:lvlText w:val="•"/>
      <w:lvlJc w:val="left"/>
      <w:pPr>
        <w:ind w:left="5523" w:hanging="360"/>
      </w:pPr>
    </w:lvl>
    <w:lvl w:ilvl="6">
      <w:start w:val="1"/>
      <w:numFmt w:val="bullet"/>
      <w:lvlText w:val="•"/>
      <w:lvlJc w:val="left"/>
      <w:pPr>
        <w:ind w:left="6439" w:hanging="360"/>
      </w:pPr>
    </w:lvl>
    <w:lvl w:ilvl="7">
      <w:start w:val="1"/>
      <w:numFmt w:val="bullet"/>
      <w:lvlText w:val="•"/>
      <w:lvlJc w:val="left"/>
      <w:pPr>
        <w:ind w:left="7356" w:hanging="360"/>
      </w:pPr>
    </w:lvl>
    <w:lvl w:ilvl="8">
      <w:start w:val="1"/>
      <w:numFmt w:val="bullet"/>
      <w:lvlText w:val="•"/>
      <w:lvlJc w:val="left"/>
      <w:pPr>
        <w:ind w:left="827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B7109"/>
    <w:rsid w:val="002B7109"/>
    <w:rsid w:val="007C57E1"/>
    <w:rsid w:val="00877A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before="105"/>
      <w:ind w:left="222"/>
      <w:outlineLvl w:val="1"/>
    </w:pPr>
    <w:rPr>
      <w:b/>
      <w:sz w:val="28"/>
      <w:szCs w:val="28"/>
    </w:rPr>
  </w:style>
  <w:style w:type="paragraph" w:styleId="Ttulo3">
    <w:name w:val="heading 3"/>
    <w:basedOn w:val="Normal"/>
    <w:next w:val="Normal"/>
    <w:pPr>
      <w:spacing w:before="52"/>
      <w:ind w:left="222"/>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mbria" w:eastAsia="Cambria" w:hAnsi="Cambria" w:cs="Cambria"/>
      <w:color w:val="17365D"/>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877ADD"/>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before="105"/>
      <w:ind w:left="222"/>
      <w:outlineLvl w:val="1"/>
    </w:pPr>
    <w:rPr>
      <w:b/>
      <w:sz w:val="28"/>
      <w:szCs w:val="28"/>
    </w:rPr>
  </w:style>
  <w:style w:type="paragraph" w:styleId="Ttulo3">
    <w:name w:val="heading 3"/>
    <w:basedOn w:val="Normal"/>
    <w:next w:val="Normal"/>
    <w:pPr>
      <w:spacing w:before="52"/>
      <w:ind w:left="222"/>
      <w:outlineLvl w:val="2"/>
    </w:pPr>
    <w:rPr>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mbria" w:eastAsia="Cambria" w:hAnsi="Cambria" w:cs="Cambria"/>
      <w:color w:val="17365D"/>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877ADD"/>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9vBFye81Vh6NstMEYH7PfzuA==">AMUW2mVedNOA+e0/TfR36+XNHTQrxPkgOkF12G4t+29hWW9RZzd6FSMAGv8lFrjKPjrditoe3WuNa1KEMjOmVavAdkwTaDqXI6SKkOHEFJpsCiJ2iPmv+3RNnCynfmURUj0gtRWB0PqZ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1365</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Genero02</dc:creator>
  <cp:lastModifiedBy>Genero02</cp:lastModifiedBy>
  <cp:revision>2</cp:revision>
  <dcterms:created xsi:type="dcterms:W3CDTF">2021-11-26T12:29:00Z</dcterms:created>
  <dcterms:modified xsi:type="dcterms:W3CDTF">2021-11-26T12:29:00Z</dcterms:modified>
</cp:coreProperties>
</file>