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47" w:rsidRPr="001A5837" w:rsidRDefault="00BA7247" w:rsidP="00BA7247">
      <w:pPr>
        <w:pStyle w:val="Prrafodelista"/>
        <w:numPr>
          <w:ilvl w:val="0"/>
          <w:numId w:val="2"/>
        </w:numPr>
        <w:jc w:val="both"/>
        <w:rPr>
          <w:b/>
        </w:rPr>
      </w:pPr>
      <w:r w:rsidRPr="001A5837">
        <w:rPr>
          <w:b/>
        </w:rPr>
        <w:t>EQUIPOS PARA REFRIGERACION-410</w:t>
      </w:r>
    </w:p>
    <w:p w:rsidR="00BA7247" w:rsidRDefault="00BA7247" w:rsidP="00BA7247">
      <w:pPr>
        <w:jc w:val="both"/>
        <w:rPr>
          <w:b/>
        </w:rPr>
      </w:pPr>
    </w:p>
    <w:p w:rsidR="00BA7247" w:rsidRDefault="00BA7247" w:rsidP="00BA7247">
      <w:pPr>
        <w:jc w:val="both"/>
        <w:rPr>
          <w:b/>
        </w:rPr>
      </w:pPr>
      <w:r>
        <w:rPr>
          <w:b/>
        </w:rPr>
        <w:t xml:space="preserve"> Total ejecutado Año 2020 – Comparativa de adjudicaciones </w:t>
      </w:r>
    </w:p>
    <w:p w:rsidR="00BA7247" w:rsidRDefault="00BA7247" w:rsidP="00BA7247">
      <w:pPr>
        <w:jc w:val="both"/>
        <w:rPr>
          <w:b/>
        </w:rPr>
      </w:pPr>
    </w:p>
    <w:tbl>
      <w:tblPr>
        <w:tblW w:w="8589" w:type="dxa"/>
        <w:tblInd w:w="55" w:type="dxa"/>
        <w:tblCellMar>
          <w:left w:w="70" w:type="dxa"/>
          <w:right w:w="70" w:type="dxa"/>
        </w:tblCellMar>
        <w:tblLook w:val="04A0"/>
      </w:tblPr>
      <w:tblGrid>
        <w:gridCol w:w="5685"/>
        <w:gridCol w:w="1454"/>
        <w:gridCol w:w="1450"/>
      </w:tblGrid>
      <w:tr w:rsidR="00BA7247" w:rsidRPr="00B31CDD" w:rsidTr="001D5F5C">
        <w:trPr>
          <w:trHeight w:val="60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247" w:rsidRPr="00B31CDD" w:rsidRDefault="00BA7247" w:rsidP="001D5F5C">
            <w:pPr>
              <w:spacing w:after="0" w:line="240" w:lineRule="auto"/>
              <w:rPr>
                <w:rFonts w:ascii="Calibri" w:eastAsia="Times New Roman" w:hAnsi="Calibri" w:cs="Calibri"/>
                <w:b/>
                <w:bCs/>
                <w:color w:val="000000"/>
                <w:sz w:val="24"/>
                <w:szCs w:val="24"/>
                <w:lang w:eastAsia="es-AR"/>
              </w:rPr>
            </w:pPr>
            <w:r w:rsidRPr="00B31CDD">
              <w:rPr>
                <w:rFonts w:ascii="Calibri" w:eastAsia="Times New Roman" w:hAnsi="Calibri" w:cs="Calibri"/>
                <w:b/>
                <w:bCs/>
                <w:color w:val="000000"/>
                <w:sz w:val="24"/>
                <w:szCs w:val="24"/>
                <w:lang w:eastAsia="es-AR"/>
              </w:rPr>
              <w:t>TOTAL EJECUTADO</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BA7247" w:rsidRPr="00B31CDD" w:rsidRDefault="00BA7247" w:rsidP="001D5F5C">
            <w:pPr>
              <w:spacing w:after="0" w:line="240" w:lineRule="auto"/>
              <w:jc w:val="center"/>
              <w:rPr>
                <w:rFonts w:ascii="Calibri" w:eastAsia="Times New Roman" w:hAnsi="Calibri" w:cs="Calibri"/>
                <w:color w:val="000000"/>
                <w:lang w:eastAsia="es-AR"/>
              </w:rPr>
            </w:pPr>
            <w:r w:rsidRPr="00B31CDD">
              <w:rPr>
                <w:rFonts w:ascii="Calibri" w:eastAsia="Times New Roman" w:hAnsi="Calibri" w:cs="Calibri"/>
                <w:color w:val="000000"/>
                <w:lang w:eastAsia="es-AR"/>
              </w:rPr>
              <w:t>CONVENIO MARCO</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BA7247" w:rsidRPr="00B31CDD" w:rsidRDefault="00BA7247" w:rsidP="001D5F5C">
            <w:pPr>
              <w:spacing w:after="0" w:line="240" w:lineRule="auto"/>
              <w:jc w:val="center"/>
              <w:rPr>
                <w:rFonts w:ascii="Calibri" w:eastAsia="Times New Roman" w:hAnsi="Calibri" w:cs="Calibri"/>
                <w:color w:val="000000"/>
                <w:lang w:eastAsia="es-AR"/>
              </w:rPr>
            </w:pPr>
            <w:r w:rsidRPr="00B31CDD">
              <w:rPr>
                <w:rFonts w:ascii="Calibri" w:eastAsia="Times New Roman" w:hAnsi="Calibri" w:cs="Calibri"/>
                <w:color w:val="000000"/>
                <w:lang w:eastAsia="es-AR"/>
              </w:rPr>
              <w:t>POR FUERA DEL C.M.</w:t>
            </w:r>
          </w:p>
        </w:tc>
      </w:tr>
      <w:tr w:rsidR="00BA7247" w:rsidRPr="00B31CDD" w:rsidTr="001D5F5C">
        <w:trPr>
          <w:trHeight w:val="30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BA7247" w:rsidRPr="00B31CDD" w:rsidRDefault="00BA7247" w:rsidP="001D5F5C">
            <w:pPr>
              <w:spacing w:after="0" w:line="240" w:lineRule="auto"/>
              <w:rPr>
                <w:rFonts w:ascii="Calibri" w:eastAsia="Times New Roman" w:hAnsi="Calibri" w:cs="Calibri"/>
                <w:color w:val="000000"/>
                <w:lang w:eastAsia="es-AR"/>
              </w:rPr>
            </w:pPr>
            <w:r w:rsidRPr="00B31CDD">
              <w:rPr>
                <w:rFonts w:ascii="Calibri" w:eastAsia="Times New Roman" w:hAnsi="Calibri" w:cs="Calibri"/>
                <w:color w:val="000000"/>
                <w:lang w:eastAsia="es-AR"/>
              </w:rPr>
              <w:t xml:space="preserve">                                                                                            23.089.472,00 </w:t>
            </w:r>
          </w:p>
        </w:tc>
        <w:tc>
          <w:tcPr>
            <w:tcW w:w="1454" w:type="dxa"/>
            <w:tcBorders>
              <w:top w:val="nil"/>
              <w:left w:val="nil"/>
              <w:bottom w:val="single" w:sz="4" w:space="0" w:color="auto"/>
              <w:right w:val="single" w:sz="4" w:space="0" w:color="auto"/>
            </w:tcBorders>
            <w:shd w:val="clear" w:color="auto" w:fill="auto"/>
            <w:noWrap/>
            <w:vAlign w:val="bottom"/>
            <w:hideMark/>
          </w:tcPr>
          <w:p w:rsidR="00BA7247" w:rsidRPr="00B31CDD" w:rsidRDefault="00BA7247" w:rsidP="001D5F5C">
            <w:pPr>
              <w:spacing w:after="0" w:line="240" w:lineRule="auto"/>
              <w:jc w:val="right"/>
              <w:rPr>
                <w:rFonts w:ascii="Calibri" w:eastAsia="Times New Roman" w:hAnsi="Calibri" w:cs="Calibri"/>
                <w:color w:val="000000"/>
                <w:lang w:eastAsia="es-AR"/>
              </w:rPr>
            </w:pPr>
            <w:r w:rsidRPr="00B31CDD">
              <w:rPr>
                <w:rFonts w:ascii="Calibri" w:eastAsia="Times New Roman" w:hAnsi="Calibri" w:cs="Calibri"/>
                <w:color w:val="000000"/>
                <w:lang w:eastAsia="es-AR"/>
              </w:rPr>
              <w:t>1.105.468,32</w:t>
            </w:r>
          </w:p>
        </w:tc>
        <w:tc>
          <w:tcPr>
            <w:tcW w:w="1450" w:type="dxa"/>
            <w:tcBorders>
              <w:top w:val="nil"/>
              <w:left w:val="nil"/>
              <w:bottom w:val="single" w:sz="4" w:space="0" w:color="auto"/>
              <w:right w:val="single" w:sz="4" w:space="0" w:color="auto"/>
            </w:tcBorders>
            <w:shd w:val="clear" w:color="auto" w:fill="auto"/>
            <w:noWrap/>
            <w:vAlign w:val="bottom"/>
            <w:hideMark/>
          </w:tcPr>
          <w:p w:rsidR="00BA7247" w:rsidRPr="00B31CDD" w:rsidRDefault="00BA7247" w:rsidP="001D5F5C">
            <w:pPr>
              <w:spacing w:after="0" w:line="240" w:lineRule="auto"/>
              <w:rPr>
                <w:rFonts w:ascii="Calibri" w:eastAsia="Times New Roman" w:hAnsi="Calibri" w:cs="Calibri"/>
                <w:color w:val="000000"/>
                <w:lang w:eastAsia="es-AR"/>
              </w:rPr>
            </w:pPr>
            <w:r w:rsidRPr="00B31CDD">
              <w:rPr>
                <w:rFonts w:ascii="Calibri" w:eastAsia="Times New Roman" w:hAnsi="Calibri" w:cs="Calibri"/>
                <w:color w:val="000000"/>
                <w:lang w:eastAsia="es-AR"/>
              </w:rPr>
              <w:t xml:space="preserve">   21.984.003,68 </w:t>
            </w:r>
          </w:p>
        </w:tc>
      </w:tr>
      <w:tr w:rsidR="00BA7247" w:rsidRPr="00B31CDD" w:rsidTr="001D5F5C">
        <w:trPr>
          <w:trHeight w:val="915"/>
        </w:trPr>
        <w:tc>
          <w:tcPr>
            <w:tcW w:w="5685" w:type="dxa"/>
            <w:tcBorders>
              <w:top w:val="nil"/>
              <w:left w:val="single" w:sz="4" w:space="0" w:color="auto"/>
              <w:bottom w:val="single" w:sz="4" w:space="0" w:color="auto"/>
              <w:right w:val="single" w:sz="4" w:space="0" w:color="auto"/>
            </w:tcBorders>
            <w:shd w:val="clear" w:color="000000" w:fill="FFFFFF"/>
            <w:vAlign w:val="bottom"/>
            <w:hideMark/>
          </w:tcPr>
          <w:p w:rsidR="00BA7247" w:rsidRPr="00B31CDD" w:rsidRDefault="00BA7247" w:rsidP="001D5F5C">
            <w:pPr>
              <w:spacing w:after="0" w:line="240" w:lineRule="auto"/>
              <w:rPr>
                <w:rFonts w:ascii="Calibri" w:eastAsia="Times New Roman" w:hAnsi="Calibri" w:cs="Calibri"/>
                <w:color w:val="000000"/>
                <w:lang w:eastAsia="es-AR"/>
              </w:rPr>
            </w:pPr>
            <w:r w:rsidRPr="00B31CDD">
              <w:rPr>
                <w:rFonts w:ascii="Calibri" w:eastAsia="Times New Roman" w:hAnsi="Calibri" w:cs="Calibri"/>
                <w:color w:val="000000"/>
                <w:lang w:eastAsia="es-AR"/>
              </w:rPr>
              <w:t>SISTEMA DE ACONDICIONAMIENTO TERMICO (CALEFACCIÓN Y REFRIGERACIÓN) UNIDAD-410010025/  2**</w:t>
            </w:r>
          </w:p>
        </w:tc>
        <w:tc>
          <w:tcPr>
            <w:tcW w:w="1454" w:type="dxa"/>
            <w:tcBorders>
              <w:top w:val="nil"/>
              <w:left w:val="nil"/>
              <w:bottom w:val="single" w:sz="4" w:space="0" w:color="auto"/>
              <w:right w:val="single" w:sz="4" w:space="0" w:color="auto"/>
            </w:tcBorders>
            <w:shd w:val="clear" w:color="auto" w:fill="auto"/>
            <w:noWrap/>
            <w:vAlign w:val="bottom"/>
            <w:hideMark/>
          </w:tcPr>
          <w:p w:rsidR="00BA7247" w:rsidRPr="00B31CDD" w:rsidRDefault="00BA7247" w:rsidP="001D5F5C">
            <w:pPr>
              <w:spacing w:after="0" w:line="240" w:lineRule="auto"/>
              <w:rPr>
                <w:rFonts w:ascii="Calibri" w:eastAsia="Times New Roman" w:hAnsi="Calibri" w:cs="Calibri"/>
                <w:color w:val="000000"/>
                <w:lang w:eastAsia="es-AR"/>
              </w:rPr>
            </w:pPr>
            <w:r w:rsidRPr="00B31CDD">
              <w:rPr>
                <w:rFonts w:ascii="Calibri" w:eastAsia="Times New Roman" w:hAnsi="Calibri" w:cs="Calibri"/>
                <w:color w:val="000000"/>
                <w:lang w:eastAsia="es-AR"/>
              </w:rPr>
              <w:t> </w:t>
            </w:r>
          </w:p>
        </w:tc>
        <w:tc>
          <w:tcPr>
            <w:tcW w:w="1450" w:type="dxa"/>
            <w:tcBorders>
              <w:top w:val="nil"/>
              <w:left w:val="nil"/>
              <w:bottom w:val="nil"/>
              <w:right w:val="single" w:sz="4" w:space="0" w:color="auto"/>
            </w:tcBorders>
            <w:shd w:val="clear" w:color="000000" w:fill="FFFFFF"/>
            <w:vAlign w:val="bottom"/>
            <w:hideMark/>
          </w:tcPr>
          <w:p w:rsidR="00BA7247" w:rsidRPr="00B31CDD" w:rsidRDefault="00BA7247" w:rsidP="001D5F5C">
            <w:pPr>
              <w:spacing w:after="0" w:line="240" w:lineRule="auto"/>
              <w:rPr>
                <w:rFonts w:ascii="Calibri" w:eastAsia="Times New Roman" w:hAnsi="Calibri" w:cs="Calibri"/>
                <w:color w:val="000000"/>
                <w:lang w:eastAsia="es-AR"/>
              </w:rPr>
            </w:pPr>
            <w:r w:rsidRPr="00B31CDD">
              <w:rPr>
                <w:rFonts w:ascii="Calibri" w:eastAsia="Times New Roman" w:hAnsi="Calibri" w:cs="Calibri"/>
                <w:color w:val="000000"/>
                <w:lang w:eastAsia="es-AR"/>
              </w:rPr>
              <w:t xml:space="preserve">-   8.235.727,23 </w:t>
            </w:r>
          </w:p>
        </w:tc>
      </w:tr>
      <w:tr w:rsidR="00BA7247" w:rsidRPr="00B31CDD" w:rsidTr="001D5F5C">
        <w:trPr>
          <w:trHeight w:val="315"/>
        </w:trPr>
        <w:tc>
          <w:tcPr>
            <w:tcW w:w="5685" w:type="dxa"/>
            <w:tcBorders>
              <w:top w:val="nil"/>
              <w:left w:val="nil"/>
              <w:bottom w:val="nil"/>
              <w:right w:val="nil"/>
            </w:tcBorders>
            <w:shd w:val="clear" w:color="000000" w:fill="FFFFFF"/>
            <w:vAlign w:val="bottom"/>
            <w:hideMark/>
          </w:tcPr>
          <w:p w:rsidR="00BA7247" w:rsidRPr="00B31CDD" w:rsidRDefault="00BA7247" w:rsidP="001D5F5C">
            <w:pPr>
              <w:spacing w:after="0" w:line="240" w:lineRule="auto"/>
              <w:rPr>
                <w:rFonts w:ascii="Calibri" w:eastAsia="Times New Roman" w:hAnsi="Calibri" w:cs="Calibri"/>
                <w:color w:val="000000"/>
                <w:lang w:eastAsia="es-AR"/>
              </w:rPr>
            </w:pPr>
            <w:r w:rsidRPr="00B31CDD">
              <w:rPr>
                <w:rFonts w:ascii="Calibri" w:eastAsia="Times New Roman" w:hAnsi="Calibri" w:cs="Calibri"/>
                <w:color w:val="000000"/>
                <w:lang w:eastAsia="es-AR"/>
              </w:rPr>
              <w:t> </w:t>
            </w:r>
          </w:p>
        </w:tc>
        <w:tc>
          <w:tcPr>
            <w:tcW w:w="1454" w:type="dxa"/>
            <w:tcBorders>
              <w:top w:val="nil"/>
              <w:left w:val="nil"/>
              <w:bottom w:val="nil"/>
              <w:right w:val="nil"/>
            </w:tcBorders>
            <w:shd w:val="clear" w:color="auto" w:fill="auto"/>
            <w:noWrap/>
            <w:vAlign w:val="bottom"/>
            <w:hideMark/>
          </w:tcPr>
          <w:p w:rsidR="00BA7247" w:rsidRPr="00B31CDD" w:rsidRDefault="00BA7247" w:rsidP="001D5F5C">
            <w:pPr>
              <w:spacing w:after="0" w:line="240" w:lineRule="auto"/>
              <w:rPr>
                <w:rFonts w:ascii="Calibri" w:eastAsia="Times New Roman" w:hAnsi="Calibri" w:cs="Calibri"/>
                <w:color w:val="000000"/>
                <w:lang w:eastAsia="es-AR"/>
              </w:rPr>
            </w:pPr>
          </w:p>
        </w:tc>
        <w:tc>
          <w:tcPr>
            <w:tcW w:w="145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BA7247" w:rsidRPr="00B31CDD" w:rsidRDefault="00BA7247" w:rsidP="001D5F5C">
            <w:pPr>
              <w:spacing w:after="0" w:line="240" w:lineRule="auto"/>
              <w:rPr>
                <w:rFonts w:ascii="Calibri" w:eastAsia="Times New Roman" w:hAnsi="Calibri" w:cs="Calibri"/>
                <w:color w:val="000000"/>
                <w:lang w:eastAsia="es-AR"/>
              </w:rPr>
            </w:pPr>
            <w:r w:rsidRPr="00B31CDD">
              <w:rPr>
                <w:rFonts w:ascii="Calibri" w:eastAsia="Times New Roman" w:hAnsi="Calibri" w:cs="Calibri"/>
                <w:color w:val="000000"/>
                <w:lang w:eastAsia="es-AR"/>
              </w:rPr>
              <w:t xml:space="preserve">   13.748.276,45 </w:t>
            </w:r>
          </w:p>
        </w:tc>
      </w:tr>
    </w:tbl>
    <w:p w:rsidR="00BA7247" w:rsidRDefault="00BA7247" w:rsidP="00BA7247">
      <w:pPr>
        <w:jc w:val="both"/>
        <w:rPr>
          <w:b/>
        </w:rPr>
      </w:pPr>
    </w:p>
    <w:p w:rsidR="00BA7247" w:rsidRDefault="00BA7247" w:rsidP="00BA7247">
      <w:pPr>
        <w:jc w:val="both"/>
        <w:rPr>
          <w:b/>
        </w:rPr>
      </w:pPr>
    </w:p>
    <w:p w:rsidR="00BA7247" w:rsidRDefault="00BA7247" w:rsidP="00BA7247">
      <w:pPr>
        <w:spacing w:after="0" w:line="240" w:lineRule="auto"/>
        <w:jc w:val="both"/>
        <w:rPr>
          <w:rFonts w:ascii="Calibri" w:eastAsia="Times New Roman" w:hAnsi="Calibri" w:cs="Calibri"/>
          <w:color w:val="000000"/>
          <w:sz w:val="24"/>
          <w:szCs w:val="24"/>
          <w:lang w:eastAsia="es-AR"/>
        </w:rPr>
      </w:pPr>
      <w:r w:rsidRPr="0075223D">
        <w:rPr>
          <w:rFonts w:ascii="Calibri" w:eastAsia="Times New Roman" w:hAnsi="Calibri" w:cs="Calibri"/>
          <w:b/>
          <w:bCs/>
          <w:color w:val="000000"/>
          <w:sz w:val="24"/>
          <w:szCs w:val="24"/>
          <w:lang w:eastAsia="es-AR"/>
        </w:rPr>
        <w:t xml:space="preserve">* </w:t>
      </w:r>
      <w:proofErr w:type="gramStart"/>
      <w:r w:rsidRPr="0075223D">
        <w:rPr>
          <w:rFonts w:ascii="Calibri" w:eastAsia="Times New Roman" w:hAnsi="Calibri" w:cs="Calibri"/>
          <w:color w:val="000000"/>
          <w:sz w:val="24"/>
          <w:szCs w:val="24"/>
          <w:lang w:eastAsia="es-AR"/>
        </w:rPr>
        <w:t>se</w:t>
      </w:r>
      <w:proofErr w:type="gramEnd"/>
      <w:r w:rsidRPr="0075223D">
        <w:rPr>
          <w:rFonts w:ascii="Calibri" w:eastAsia="Times New Roman" w:hAnsi="Calibri" w:cs="Calibri"/>
          <w:color w:val="000000"/>
          <w:sz w:val="24"/>
          <w:szCs w:val="24"/>
          <w:lang w:eastAsia="es-AR"/>
        </w:rPr>
        <w:t xml:space="preserve"> someten a estudio los equipos de climatización, no así los repuestos.</w:t>
      </w:r>
    </w:p>
    <w:p w:rsidR="00BA7247" w:rsidRPr="00B31CDD" w:rsidRDefault="00BA7247" w:rsidP="00BA7247">
      <w:pPr>
        <w:spacing w:after="0" w:line="240" w:lineRule="auto"/>
        <w:jc w:val="both"/>
        <w:rPr>
          <w:rFonts w:ascii="Calibri" w:eastAsia="Times New Roman" w:hAnsi="Calibri" w:cs="Calibri"/>
          <w:color w:val="000000"/>
          <w:lang w:eastAsia="es-AR"/>
        </w:rPr>
      </w:pPr>
      <w:r w:rsidRPr="00B31CDD">
        <w:rPr>
          <w:rFonts w:ascii="Calibri" w:eastAsia="Times New Roman" w:hAnsi="Calibri" w:cs="Calibri"/>
          <w:color w:val="000000"/>
          <w:lang w:eastAsia="es-AR"/>
        </w:rPr>
        <w:t>**Se resta por tratarse de una obra con elementos de frío incluidos.</w:t>
      </w:r>
    </w:p>
    <w:p w:rsidR="00BA7247" w:rsidRDefault="00BA7247" w:rsidP="00BA7247">
      <w:pPr>
        <w:spacing w:after="0" w:line="240" w:lineRule="auto"/>
        <w:jc w:val="both"/>
        <w:rPr>
          <w:rFonts w:ascii="Calibri" w:eastAsia="Times New Roman" w:hAnsi="Calibri" w:cs="Calibri"/>
          <w:color w:val="000000"/>
          <w:sz w:val="24"/>
          <w:szCs w:val="24"/>
          <w:lang w:eastAsia="es-AR"/>
        </w:rPr>
      </w:pPr>
    </w:p>
    <w:p w:rsidR="00BA7247" w:rsidRPr="0075223D" w:rsidRDefault="00BA7247" w:rsidP="00BA7247">
      <w:pPr>
        <w:spacing w:after="0" w:line="240" w:lineRule="auto"/>
        <w:jc w:val="both"/>
        <w:rPr>
          <w:rFonts w:ascii="Calibri" w:eastAsia="Times New Roman" w:hAnsi="Calibri" w:cs="Calibri"/>
          <w:b/>
          <w:bCs/>
          <w:color w:val="000000"/>
          <w:sz w:val="24"/>
          <w:szCs w:val="24"/>
          <w:lang w:eastAsia="es-AR"/>
        </w:rPr>
      </w:pPr>
    </w:p>
    <w:p w:rsidR="00BA7247" w:rsidRDefault="00BA7247" w:rsidP="00BA7247">
      <w:pPr>
        <w:rPr>
          <w:i/>
        </w:rPr>
      </w:pPr>
      <w:r w:rsidRPr="00E47E12">
        <w:rPr>
          <w:i/>
        </w:rPr>
        <w:t xml:space="preserve">Se observa que el  monto contratado en  el convenio marco </w:t>
      </w:r>
      <w:r>
        <w:rPr>
          <w:i/>
        </w:rPr>
        <w:t xml:space="preserve">representa aproximadamente un   8 </w:t>
      </w:r>
      <w:r w:rsidRPr="00E47E12">
        <w:rPr>
          <w:i/>
        </w:rPr>
        <w:t xml:space="preserve">% </w:t>
      </w:r>
      <w:r>
        <w:rPr>
          <w:i/>
        </w:rPr>
        <w:t xml:space="preserve"> </w:t>
      </w:r>
      <w:r w:rsidRPr="00E47E12">
        <w:rPr>
          <w:i/>
        </w:rPr>
        <w:t>del total de los equipos contratados en el sector público.</w:t>
      </w:r>
    </w:p>
    <w:p w:rsidR="00BA7247" w:rsidRDefault="00BA7247" w:rsidP="00BA7247">
      <w:pPr>
        <w:rPr>
          <w:i/>
        </w:rPr>
      </w:pPr>
    </w:p>
    <w:p w:rsidR="00BA7247" w:rsidRDefault="00BA7247" w:rsidP="00BA7247">
      <w:r w:rsidRPr="003D2CEA">
        <w:rPr>
          <w:noProof/>
          <w:lang w:eastAsia="es-AR"/>
        </w:rPr>
        <w:lastRenderedPageBreak/>
        <w:drawing>
          <wp:inline distT="0" distB="0" distL="0" distR="0">
            <wp:extent cx="5188710" cy="782955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88154" cy="7828712"/>
                    </a:xfrm>
                    <a:prstGeom prst="rect">
                      <a:avLst/>
                    </a:prstGeom>
                    <a:noFill/>
                    <a:ln w="9525">
                      <a:noFill/>
                      <a:miter lim="800000"/>
                      <a:headEnd/>
                      <a:tailEnd/>
                    </a:ln>
                  </pic:spPr>
                </pic:pic>
              </a:graphicData>
            </a:graphic>
          </wp:inline>
        </w:drawing>
      </w:r>
    </w:p>
    <w:p w:rsidR="00BA7247" w:rsidRDefault="00BA7247" w:rsidP="00BA7247">
      <w:pPr>
        <w:pStyle w:val="Prrafodelista"/>
        <w:numPr>
          <w:ilvl w:val="0"/>
          <w:numId w:val="2"/>
        </w:numPr>
      </w:pPr>
      <w:r w:rsidRPr="00061F53">
        <w:rPr>
          <w:b/>
          <w:i/>
        </w:rPr>
        <w:t>El monto de contrataciones menores a $ 100.000 representa un total del 3% aproximado del total contratado en el grupo</w:t>
      </w:r>
      <w:r>
        <w:t>.</w:t>
      </w:r>
    </w:p>
    <w:p w:rsidR="00BA7247" w:rsidRDefault="00BA7247" w:rsidP="00BA7247">
      <w:pPr>
        <w:pStyle w:val="Prrafodelista"/>
      </w:pPr>
      <w:r w:rsidRPr="008429E8">
        <w:rPr>
          <w:noProof/>
          <w:lang w:eastAsia="es-AR"/>
        </w:rPr>
        <w:lastRenderedPageBreak/>
        <w:drawing>
          <wp:anchor distT="0" distB="0" distL="114300" distR="114300" simplePos="0" relativeHeight="251659264" behindDoc="0" locked="0" layoutInCell="1" allowOverlap="0">
            <wp:simplePos x="0" y="0"/>
            <wp:positionH relativeFrom="column">
              <wp:posOffset>215265</wp:posOffset>
            </wp:positionH>
            <wp:positionV relativeFrom="paragraph">
              <wp:posOffset>-4445</wp:posOffset>
            </wp:positionV>
            <wp:extent cx="4886325" cy="8467725"/>
            <wp:effectExtent l="19050" t="0" r="9525" b="0"/>
            <wp:wrapSquare wrapText="bothSides"/>
            <wp:docPr id="1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4886325" cy="8467725"/>
                    </a:xfrm>
                    <a:prstGeom prst="rect">
                      <a:avLst/>
                    </a:prstGeom>
                    <a:noFill/>
                    <a:ln w="9525">
                      <a:noFill/>
                      <a:miter lim="800000"/>
                      <a:headEnd/>
                      <a:tailEnd/>
                    </a:ln>
                  </pic:spPr>
                </pic:pic>
              </a:graphicData>
            </a:graphic>
          </wp:anchor>
        </w:drawing>
      </w:r>
    </w:p>
    <w:p w:rsidR="00BA7247" w:rsidRDefault="00BA7247" w:rsidP="00BA7247">
      <w:pPr>
        <w:jc w:val="center"/>
      </w:pPr>
      <w:r w:rsidRPr="008429E8">
        <w:rPr>
          <w:noProof/>
          <w:lang w:eastAsia="es-AR"/>
        </w:rPr>
        <w:lastRenderedPageBreak/>
        <w:drawing>
          <wp:inline distT="0" distB="0" distL="0" distR="0">
            <wp:extent cx="5365750" cy="9972040"/>
            <wp:effectExtent l="19050" t="0" r="6350" b="0"/>
            <wp:docPr id="1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365750" cy="9972040"/>
                    </a:xfrm>
                    <a:prstGeom prst="rect">
                      <a:avLst/>
                    </a:prstGeom>
                    <a:noFill/>
                    <a:ln w="9525">
                      <a:noFill/>
                      <a:miter lim="800000"/>
                      <a:headEnd/>
                      <a:tailEnd/>
                    </a:ln>
                  </pic:spPr>
                </pic:pic>
              </a:graphicData>
            </a:graphic>
          </wp:inline>
        </w:drawing>
      </w:r>
      <w:r w:rsidRPr="008429E8">
        <w:rPr>
          <w:noProof/>
          <w:lang w:eastAsia="es-AR"/>
        </w:rPr>
        <w:lastRenderedPageBreak/>
        <w:drawing>
          <wp:inline distT="0" distB="0" distL="0" distR="0">
            <wp:extent cx="5400040" cy="8939111"/>
            <wp:effectExtent l="19050" t="0" r="0" b="0"/>
            <wp:docPr id="2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5400040" cy="8939111"/>
                    </a:xfrm>
                    <a:prstGeom prst="rect">
                      <a:avLst/>
                    </a:prstGeom>
                    <a:noFill/>
                    <a:ln w="9525">
                      <a:noFill/>
                      <a:miter lim="800000"/>
                      <a:headEnd/>
                      <a:tailEnd/>
                    </a:ln>
                  </pic:spPr>
                </pic:pic>
              </a:graphicData>
            </a:graphic>
          </wp:inline>
        </w:drawing>
      </w:r>
      <w:r w:rsidRPr="008429E8">
        <w:rPr>
          <w:noProof/>
          <w:lang w:eastAsia="es-AR"/>
        </w:rPr>
        <w:lastRenderedPageBreak/>
        <w:drawing>
          <wp:inline distT="0" distB="0" distL="0" distR="0">
            <wp:extent cx="5400040" cy="2179814"/>
            <wp:effectExtent l="19050" t="0" r="0" b="0"/>
            <wp:docPr id="2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400040" cy="2179814"/>
                    </a:xfrm>
                    <a:prstGeom prst="rect">
                      <a:avLst/>
                    </a:prstGeom>
                    <a:noFill/>
                    <a:ln w="9525">
                      <a:noFill/>
                      <a:miter lim="800000"/>
                      <a:headEnd/>
                      <a:tailEnd/>
                    </a:ln>
                  </pic:spPr>
                </pic:pic>
              </a:graphicData>
            </a:graphic>
          </wp:inline>
        </w:drawing>
      </w:r>
    </w:p>
    <w:p w:rsidR="00BA7247" w:rsidRDefault="00BA7247" w:rsidP="00BA7247">
      <w:pPr>
        <w:jc w:val="center"/>
      </w:pPr>
    </w:p>
    <w:p w:rsidR="00BA7247" w:rsidRDefault="00BA7247" w:rsidP="00BA7247">
      <w:pPr>
        <w:jc w:val="both"/>
      </w:pPr>
      <w:r>
        <w:t>Se observa que existen en el nomenclador insumos repetidos o muy similares que permiten que se realicen muchas contrataciones por fuera del convenio marco.</w:t>
      </w:r>
    </w:p>
    <w:p w:rsidR="00BA7247" w:rsidRDefault="00BA7247" w:rsidP="00BA7247">
      <w:pPr>
        <w:jc w:val="center"/>
      </w:pPr>
      <w:r w:rsidRPr="00E47E12">
        <w:rPr>
          <w:noProof/>
          <w:lang w:eastAsia="es-AR"/>
        </w:rPr>
        <w:lastRenderedPageBreak/>
        <w:drawing>
          <wp:inline distT="0" distB="0" distL="0" distR="0">
            <wp:extent cx="4046773" cy="8945592"/>
            <wp:effectExtent l="19050" t="0" r="0" b="0"/>
            <wp:docPr id="2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4046850" cy="8945763"/>
                    </a:xfrm>
                    <a:prstGeom prst="rect">
                      <a:avLst/>
                    </a:prstGeom>
                    <a:noFill/>
                    <a:ln w="9525">
                      <a:noFill/>
                      <a:miter lim="800000"/>
                      <a:headEnd/>
                      <a:tailEnd/>
                    </a:ln>
                  </pic:spPr>
                </pic:pic>
              </a:graphicData>
            </a:graphic>
          </wp:inline>
        </w:drawing>
      </w:r>
    </w:p>
    <w:p w:rsidR="00A87BE2" w:rsidRDefault="00A87BE2" w:rsidP="00A87BE2">
      <w:pPr>
        <w:jc w:val="both"/>
      </w:pPr>
      <w:r w:rsidRPr="009441BB">
        <w:rPr>
          <w:b/>
          <w:u w:val="single"/>
        </w:rPr>
        <w:lastRenderedPageBreak/>
        <w:t>CONCLUSIÓN</w:t>
      </w:r>
      <w:r>
        <w:t>:</w:t>
      </w:r>
    </w:p>
    <w:p w:rsidR="00A87BE2" w:rsidRDefault="00A87BE2" w:rsidP="00A87BE2">
      <w:pPr>
        <w:jc w:val="both"/>
      </w:pPr>
      <w:r>
        <w:t>Se sugiere tener en cuenta las siguientes consideraciones para el grupo 410 que podrán  ser tomadas a criterio de la superioridad:</w:t>
      </w:r>
    </w:p>
    <w:p w:rsidR="00A87BE2" w:rsidRDefault="00A87BE2" w:rsidP="00A87BE2">
      <w:pPr>
        <w:pStyle w:val="Prrafodelista"/>
        <w:numPr>
          <w:ilvl w:val="0"/>
          <w:numId w:val="1"/>
        </w:numPr>
        <w:spacing w:after="0" w:line="240" w:lineRule="auto"/>
        <w:jc w:val="both"/>
      </w:pPr>
      <w:r>
        <w:t>Que la Dirección instruya a los agentes que instrumentan los convenios marcos, a realizar un segundo análisis de los insumos a licitar tomando en cuenta las cantidades globales adquiridas y que existen en el nomenclador insumos repetidos o muy similares que permiten que se realicen muchas contrataciones por fuera del convenio marco.</w:t>
      </w:r>
    </w:p>
    <w:p w:rsidR="00A87BE2" w:rsidRDefault="00A87BE2" w:rsidP="00A87BE2">
      <w:pPr>
        <w:pStyle w:val="Prrafodelista"/>
        <w:numPr>
          <w:ilvl w:val="0"/>
          <w:numId w:val="1"/>
        </w:numPr>
        <w:spacing w:after="0" w:line="240" w:lineRule="auto"/>
        <w:jc w:val="both"/>
      </w:pPr>
      <w:r>
        <w:t>Revisar la cláusula de determinación de los precios, a efectos de que la administración establezca parámetros claros que eviten posibles distorsiones que permitan que los precios de los productos que se encuentran en la tienda virtual mantengan una relación razonable con los precios que los proveedores ofrezcan por fuera del convenio marco.</w:t>
      </w:r>
    </w:p>
    <w:p w:rsidR="00BA7247" w:rsidRDefault="00A87BE2" w:rsidP="00A87BE2">
      <w:pPr>
        <w:pStyle w:val="Prrafodelista"/>
        <w:numPr>
          <w:ilvl w:val="0"/>
          <w:numId w:val="1"/>
        </w:numPr>
        <w:spacing w:after="0" w:line="240" w:lineRule="auto"/>
        <w:jc w:val="both"/>
      </w:pPr>
      <w:r>
        <w:t>Tomar en cuenta para la decisión de incluir este rubro en acuerdo marco,  que la mayoría de las oficinas compradoras han realizado adquisiciones que no alcanzan el monto de la contratación directa que en el año 2020 ascendía a $ 300.000.-</w:t>
      </w:r>
      <w:r w:rsidR="00BA7247">
        <w:br w:type="page"/>
      </w:r>
    </w:p>
    <w:p w:rsidR="00084B30" w:rsidRDefault="00084B30"/>
    <w:sectPr w:rsidR="00084B30" w:rsidSect="00084B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7A2"/>
    <w:multiLevelType w:val="hybridMultilevel"/>
    <w:tmpl w:val="91969D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7ED7899"/>
    <w:multiLevelType w:val="hybridMultilevel"/>
    <w:tmpl w:val="A5AEAC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7247"/>
    <w:rsid w:val="00084B30"/>
    <w:rsid w:val="00282432"/>
    <w:rsid w:val="00A46805"/>
    <w:rsid w:val="00A87BE2"/>
    <w:rsid w:val="00BA724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2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7247"/>
    <w:pPr>
      <w:ind w:left="720"/>
      <w:contextualSpacing/>
    </w:pPr>
  </w:style>
  <w:style w:type="paragraph" w:styleId="Textodeglobo">
    <w:name w:val="Balloon Text"/>
    <w:basedOn w:val="Normal"/>
    <w:link w:val="TextodegloboCar"/>
    <w:uiPriority w:val="99"/>
    <w:semiHidden/>
    <w:unhideWhenUsed/>
    <w:rsid w:val="00BA72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2021-03-09T12:16:00Z</dcterms:created>
  <dcterms:modified xsi:type="dcterms:W3CDTF">2021-03-10T13:50:00Z</dcterms:modified>
</cp:coreProperties>
</file>