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A5" w:rsidRPr="00270D8B" w:rsidRDefault="004267A5" w:rsidP="009B6431">
      <w:pPr>
        <w:pStyle w:val="Textoindependiente"/>
        <w:spacing w:before="2" w:line="360" w:lineRule="auto"/>
        <w:rPr>
          <w:rFonts w:ascii="Arial" w:hAnsi="Arial" w:cs="Arial"/>
        </w:rPr>
      </w:pPr>
      <w:bookmarkStart w:id="0" w:name="_GoBack"/>
      <w:bookmarkEnd w:id="0"/>
    </w:p>
    <w:p w:rsidR="00270D8B" w:rsidRPr="00270D8B" w:rsidRDefault="00270D8B" w:rsidP="009B6431">
      <w:pPr>
        <w:pStyle w:val="Descripcin"/>
        <w:keepNext/>
        <w:spacing w:line="360" w:lineRule="auto"/>
        <w:jc w:val="center"/>
        <w:rPr>
          <w:rFonts w:ascii="Arial" w:hAnsi="Arial" w:cs="Arial"/>
          <w:b/>
          <w:i w:val="0"/>
          <w:color w:val="auto"/>
          <w:sz w:val="24"/>
          <w:szCs w:val="24"/>
          <w:u w:val="single"/>
        </w:rPr>
      </w:pPr>
      <w:r w:rsidRPr="00270D8B">
        <w:rPr>
          <w:rFonts w:ascii="Arial" w:hAnsi="Arial" w:cs="Arial"/>
          <w:b/>
          <w:i w:val="0"/>
          <w:color w:val="auto"/>
          <w:sz w:val="24"/>
          <w:szCs w:val="24"/>
          <w:u w:val="single"/>
        </w:rPr>
        <w:t xml:space="preserve">GRILLA MODELO DE EVALUACIÓN DE OFERTA PARA </w:t>
      </w:r>
      <w:r w:rsidR="00396880">
        <w:rPr>
          <w:rFonts w:ascii="Arial" w:hAnsi="Arial" w:cs="Arial"/>
          <w:b/>
          <w:i w:val="0"/>
          <w:color w:val="auto"/>
          <w:sz w:val="24"/>
          <w:szCs w:val="24"/>
          <w:u w:val="single"/>
        </w:rPr>
        <w:t xml:space="preserve">LA ADQUISICIÓN DE </w:t>
      </w:r>
      <w:r w:rsidR="00396880" w:rsidRPr="00396880">
        <w:rPr>
          <w:rFonts w:ascii="Arial" w:hAnsi="Arial" w:cs="Arial"/>
          <w:b/>
          <w:i w:val="0"/>
          <w:color w:val="auto"/>
          <w:sz w:val="24"/>
          <w:szCs w:val="24"/>
          <w:u w:val="single"/>
          <w:lang w:val="es-ES"/>
        </w:rPr>
        <w:t>LUMINARIAS LED DE ALUMBRADO PÚBLICO</w:t>
      </w:r>
    </w:p>
    <w:p w:rsidR="00270D8B" w:rsidRPr="00270D8B" w:rsidRDefault="00270D8B" w:rsidP="009B6431">
      <w:pPr>
        <w:pStyle w:val="Textoindependiente"/>
        <w:spacing w:before="2" w:line="360" w:lineRule="auto"/>
        <w:rPr>
          <w:rFonts w:ascii="Arial" w:hAnsi="Arial" w:cs="Arial"/>
        </w:rPr>
      </w:pPr>
    </w:p>
    <w:tbl>
      <w:tblPr>
        <w:tblStyle w:val="Tablaconcuadrcula"/>
        <w:tblW w:w="0" w:type="auto"/>
        <w:jc w:val="center"/>
        <w:tblLayout w:type="fixed"/>
        <w:tblLook w:val="04A0" w:firstRow="1" w:lastRow="0" w:firstColumn="1" w:lastColumn="0" w:noHBand="0" w:noVBand="1"/>
      </w:tblPr>
      <w:tblGrid>
        <w:gridCol w:w="5246"/>
        <w:gridCol w:w="1645"/>
      </w:tblGrid>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spacing w:before="2" w:line="360" w:lineRule="auto"/>
              <w:jc w:val="center"/>
              <w:rPr>
                <w:rFonts w:ascii="Arial" w:hAnsi="Arial" w:cs="Arial"/>
                <w:b/>
                <w:bCs/>
                <w:lang w:val="es-AR"/>
              </w:rPr>
            </w:pPr>
            <w:r>
              <w:rPr>
                <w:rFonts w:ascii="Arial" w:hAnsi="Arial" w:cs="Arial"/>
                <w:b/>
                <w:bCs/>
                <w:lang w:val="es-AR"/>
              </w:rPr>
              <w:t>CRITERIO</w:t>
            </w:r>
          </w:p>
        </w:tc>
        <w:tc>
          <w:tcPr>
            <w:tcW w:w="1645" w:type="dxa"/>
            <w:noWrap/>
            <w:vAlign w:val="center"/>
            <w:hideMark/>
          </w:tcPr>
          <w:p w:rsidR="00270D8B" w:rsidRPr="00270D8B" w:rsidRDefault="00270D8B" w:rsidP="009B6431">
            <w:pPr>
              <w:pStyle w:val="Textoindependiente"/>
              <w:spacing w:before="2" w:line="360" w:lineRule="auto"/>
              <w:jc w:val="center"/>
              <w:rPr>
                <w:rFonts w:ascii="Arial" w:hAnsi="Arial" w:cs="Arial"/>
                <w:b/>
                <w:bCs/>
              </w:rPr>
            </w:pPr>
            <w:r w:rsidRPr="00270D8B">
              <w:rPr>
                <w:rFonts w:ascii="Arial" w:hAnsi="Arial" w:cs="Arial"/>
                <w:b/>
                <w:bCs/>
              </w:rPr>
              <w:t>PUNTAJE</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1"/>
              </w:numPr>
              <w:spacing w:before="2" w:line="360" w:lineRule="auto"/>
              <w:ind w:left="454" w:hanging="454"/>
              <w:rPr>
                <w:rFonts w:ascii="Arial" w:hAnsi="Arial" w:cs="Arial"/>
                <w:b/>
              </w:rPr>
            </w:pPr>
            <w:r w:rsidRPr="00270D8B">
              <w:rPr>
                <w:rFonts w:ascii="Arial" w:hAnsi="Arial" w:cs="Arial"/>
                <w:b/>
              </w:rPr>
              <w:t>Antecedentes</w:t>
            </w:r>
            <w:r w:rsidR="004E6860">
              <w:rPr>
                <w:rFonts w:ascii="Arial" w:hAnsi="Arial" w:cs="Arial"/>
                <w:b/>
              </w:rPr>
              <w:t>:</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rPr>
            </w:pPr>
            <w:r w:rsidRPr="00270D8B">
              <w:rPr>
                <w:rFonts w:ascii="Arial" w:hAnsi="Arial" w:cs="Arial"/>
                <w:b/>
              </w:rPr>
              <w:t>20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2"/>
              </w:numPr>
              <w:spacing w:before="2" w:line="360" w:lineRule="auto"/>
              <w:ind w:left="880" w:hanging="284"/>
              <w:rPr>
                <w:rFonts w:ascii="Arial" w:hAnsi="Arial" w:cs="Arial"/>
              </w:rPr>
            </w:pPr>
            <w:r w:rsidRPr="00270D8B">
              <w:rPr>
                <w:rFonts w:ascii="Arial" w:hAnsi="Arial" w:cs="Arial"/>
              </w:rPr>
              <w:t>Locales</w:t>
            </w:r>
          </w:p>
        </w:tc>
        <w:tc>
          <w:tcPr>
            <w:tcW w:w="1645" w:type="dxa"/>
            <w:noWrap/>
            <w:vAlign w:val="center"/>
            <w:hideMark/>
          </w:tcPr>
          <w:p w:rsidR="00270D8B" w:rsidRPr="00270D8B" w:rsidRDefault="00270D8B" w:rsidP="009B6431">
            <w:pPr>
              <w:pStyle w:val="Textoindependiente"/>
              <w:spacing w:before="2" w:line="360" w:lineRule="auto"/>
              <w:rPr>
                <w:rFonts w:ascii="Arial" w:hAnsi="Arial" w:cs="Arial"/>
              </w:rPr>
            </w:pPr>
            <w:r w:rsidRPr="00270D8B">
              <w:rPr>
                <w:rFonts w:ascii="Arial" w:hAnsi="Arial" w:cs="Arial"/>
              </w:rPr>
              <w:t>(10)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2"/>
              </w:numPr>
              <w:spacing w:before="2" w:line="360" w:lineRule="auto"/>
              <w:ind w:left="880" w:hanging="284"/>
              <w:rPr>
                <w:rFonts w:ascii="Arial" w:hAnsi="Arial" w:cs="Arial"/>
              </w:rPr>
            </w:pPr>
            <w:r w:rsidRPr="00270D8B">
              <w:rPr>
                <w:rFonts w:ascii="Arial" w:hAnsi="Arial" w:cs="Arial"/>
              </w:rPr>
              <w:t>Nacionales</w:t>
            </w:r>
          </w:p>
        </w:tc>
        <w:tc>
          <w:tcPr>
            <w:tcW w:w="1645" w:type="dxa"/>
            <w:noWrap/>
            <w:vAlign w:val="center"/>
            <w:hideMark/>
          </w:tcPr>
          <w:p w:rsidR="00270D8B" w:rsidRPr="00270D8B" w:rsidRDefault="00270D8B" w:rsidP="009B6431">
            <w:pPr>
              <w:pStyle w:val="Textoindependiente"/>
              <w:spacing w:before="2" w:line="360" w:lineRule="auto"/>
              <w:rPr>
                <w:rFonts w:ascii="Arial" w:hAnsi="Arial" w:cs="Arial"/>
              </w:rPr>
            </w:pPr>
            <w:r w:rsidRPr="00270D8B">
              <w:rPr>
                <w:rFonts w:ascii="Arial" w:hAnsi="Arial" w:cs="Arial"/>
              </w:rPr>
              <w:t>(10)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1"/>
              </w:numPr>
              <w:spacing w:before="2" w:line="360" w:lineRule="auto"/>
              <w:ind w:left="454" w:hanging="425"/>
              <w:rPr>
                <w:rFonts w:ascii="Arial" w:hAnsi="Arial" w:cs="Arial"/>
                <w:b/>
              </w:rPr>
            </w:pPr>
            <w:r w:rsidRPr="00D1192C">
              <w:rPr>
                <w:rFonts w:ascii="Arial" w:hAnsi="Arial" w:cs="Arial"/>
                <w:b/>
              </w:rPr>
              <w:t>Acreditación ODS s/ Ley 9193</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rPr>
            </w:pPr>
            <w:r>
              <w:rPr>
                <w:rFonts w:ascii="Arial" w:hAnsi="Arial" w:cs="Arial"/>
                <w:b/>
              </w:rPr>
              <w:t>10</w:t>
            </w:r>
          </w:p>
        </w:tc>
      </w:tr>
      <w:tr w:rsidR="00270D8B" w:rsidRPr="00270D8B" w:rsidTr="0072722F">
        <w:trPr>
          <w:trHeight w:val="681"/>
          <w:jc w:val="center"/>
        </w:trPr>
        <w:tc>
          <w:tcPr>
            <w:tcW w:w="5246" w:type="dxa"/>
            <w:noWrap/>
            <w:vAlign w:val="center"/>
            <w:hideMark/>
          </w:tcPr>
          <w:p w:rsidR="00270D8B" w:rsidRPr="00270D8B" w:rsidRDefault="002F0382" w:rsidP="009B6431">
            <w:pPr>
              <w:pStyle w:val="Textoindependiente"/>
              <w:numPr>
                <w:ilvl w:val="0"/>
                <w:numId w:val="1"/>
              </w:numPr>
              <w:spacing w:before="2" w:line="360" w:lineRule="auto"/>
              <w:ind w:left="454" w:hanging="425"/>
              <w:rPr>
                <w:rFonts w:ascii="Arial" w:hAnsi="Arial" w:cs="Arial"/>
                <w:b/>
              </w:rPr>
            </w:pPr>
            <w:r>
              <w:rPr>
                <w:rFonts w:ascii="Arial" w:hAnsi="Arial" w:cs="Arial"/>
                <w:b/>
              </w:rPr>
              <w:t>Calidad</w:t>
            </w:r>
            <w:r w:rsidR="004E6860">
              <w:rPr>
                <w:rFonts w:ascii="Arial" w:hAnsi="Arial" w:cs="Arial"/>
                <w:b/>
              </w:rPr>
              <w:t xml:space="preserve"> Técnica/</w:t>
            </w:r>
            <w:r>
              <w:rPr>
                <w:rFonts w:ascii="Arial" w:hAnsi="Arial" w:cs="Arial"/>
                <w:b/>
              </w:rPr>
              <w:t xml:space="preserve">Indicadores de </w:t>
            </w:r>
            <w:r w:rsidR="00270D8B" w:rsidRPr="00270D8B">
              <w:rPr>
                <w:rFonts w:ascii="Arial" w:hAnsi="Arial" w:cs="Arial"/>
                <w:b/>
              </w:rPr>
              <w:t>Calidad</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rPr>
            </w:pPr>
            <w:r w:rsidRPr="00270D8B">
              <w:rPr>
                <w:rFonts w:ascii="Arial" w:hAnsi="Arial" w:cs="Arial"/>
                <w:b/>
              </w:rPr>
              <w:t>50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1"/>
              </w:numPr>
              <w:spacing w:before="2" w:line="360" w:lineRule="auto"/>
              <w:ind w:left="454" w:hanging="425"/>
              <w:rPr>
                <w:rFonts w:ascii="Arial" w:hAnsi="Arial" w:cs="Arial"/>
                <w:b/>
              </w:rPr>
            </w:pPr>
            <w:r w:rsidRPr="00270D8B">
              <w:rPr>
                <w:rFonts w:ascii="Arial" w:hAnsi="Arial" w:cs="Arial"/>
                <w:b/>
              </w:rPr>
              <w:t>Garantía de Funcionamiento</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rPr>
            </w:pPr>
            <w:r w:rsidRPr="00270D8B">
              <w:rPr>
                <w:rFonts w:ascii="Arial" w:hAnsi="Arial" w:cs="Arial"/>
                <w:b/>
              </w:rPr>
              <w:t>10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numPr>
                <w:ilvl w:val="0"/>
                <w:numId w:val="1"/>
              </w:numPr>
              <w:spacing w:before="2" w:line="360" w:lineRule="auto"/>
              <w:ind w:left="454" w:hanging="425"/>
              <w:rPr>
                <w:rFonts w:ascii="Arial" w:hAnsi="Arial" w:cs="Arial"/>
                <w:b/>
              </w:rPr>
            </w:pPr>
            <w:r w:rsidRPr="00270D8B">
              <w:rPr>
                <w:rFonts w:ascii="Arial" w:hAnsi="Arial" w:cs="Arial"/>
                <w:b/>
              </w:rPr>
              <w:t>Oferta Básica completa</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rPr>
            </w:pPr>
            <w:r>
              <w:rPr>
                <w:rFonts w:ascii="Arial" w:hAnsi="Arial" w:cs="Arial"/>
                <w:b/>
              </w:rPr>
              <w:t>10</w:t>
            </w:r>
          </w:p>
        </w:tc>
      </w:tr>
      <w:tr w:rsidR="00270D8B" w:rsidRPr="00270D8B" w:rsidTr="0072722F">
        <w:trPr>
          <w:trHeight w:val="681"/>
          <w:jc w:val="center"/>
        </w:trPr>
        <w:tc>
          <w:tcPr>
            <w:tcW w:w="5246" w:type="dxa"/>
            <w:noWrap/>
            <w:vAlign w:val="center"/>
            <w:hideMark/>
          </w:tcPr>
          <w:p w:rsidR="00270D8B" w:rsidRPr="00270D8B" w:rsidRDefault="00270D8B" w:rsidP="009B6431">
            <w:pPr>
              <w:pStyle w:val="Textoindependiente"/>
              <w:spacing w:before="2" w:line="360" w:lineRule="auto"/>
              <w:rPr>
                <w:rFonts w:ascii="Arial" w:hAnsi="Arial" w:cs="Arial"/>
                <w:b/>
                <w:bCs/>
              </w:rPr>
            </w:pPr>
            <w:r w:rsidRPr="00270D8B">
              <w:rPr>
                <w:rFonts w:ascii="Arial" w:hAnsi="Arial" w:cs="Arial"/>
                <w:b/>
                <w:bCs/>
              </w:rPr>
              <w:t>TOTAL</w:t>
            </w:r>
          </w:p>
        </w:tc>
        <w:tc>
          <w:tcPr>
            <w:tcW w:w="1645" w:type="dxa"/>
            <w:noWrap/>
            <w:vAlign w:val="center"/>
            <w:hideMark/>
          </w:tcPr>
          <w:p w:rsidR="00270D8B" w:rsidRPr="00270D8B" w:rsidRDefault="00270D8B" w:rsidP="009B6431">
            <w:pPr>
              <w:pStyle w:val="Textoindependiente"/>
              <w:spacing w:before="2" w:line="360" w:lineRule="auto"/>
              <w:jc w:val="right"/>
              <w:rPr>
                <w:rFonts w:ascii="Arial" w:hAnsi="Arial" w:cs="Arial"/>
                <w:b/>
                <w:bCs/>
              </w:rPr>
            </w:pPr>
            <w:r w:rsidRPr="00270D8B">
              <w:rPr>
                <w:rFonts w:ascii="Arial" w:hAnsi="Arial" w:cs="Arial"/>
                <w:b/>
                <w:bCs/>
              </w:rPr>
              <w:t>100</w:t>
            </w:r>
          </w:p>
        </w:tc>
      </w:tr>
    </w:tbl>
    <w:p w:rsidR="00270D8B" w:rsidRPr="00270D8B" w:rsidRDefault="00270D8B" w:rsidP="009B6431">
      <w:pPr>
        <w:pStyle w:val="Textoindependiente"/>
        <w:spacing w:before="2" w:line="360" w:lineRule="auto"/>
        <w:rPr>
          <w:rFonts w:ascii="Arial" w:hAnsi="Arial" w:cs="Arial"/>
        </w:rPr>
      </w:pPr>
    </w:p>
    <w:p w:rsidR="00270D8B" w:rsidRPr="00270D8B" w:rsidRDefault="00270D8B" w:rsidP="009B6431">
      <w:pPr>
        <w:pStyle w:val="Textoindependiente"/>
        <w:spacing w:before="2" w:line="360" w:lineRule="auto"/>
        <w:rPr>
          <w:rFonts w:ascii="Arial" w:hAnsi="Arial" w:cs="Arial"/>
        </w:rPr>
      </w:pPr>
    </w:p>
    <w:p w:rsidR="00270D8B" w:rsidRDefault="00270D8B" w:rsidP="009B6431">
      <w:pPr>
        <w:tabs>
          <w:tab w:val="left" w:pos="1496"/>
        </w:tabs>
        <w:spacing w:before="1" w:line="360" w:lineRule="auto"/>
        <w:jc w:val="both"/>
        <w:rPr>
          <w:rFonts w:ascii="Arial" w:hAnsi="Arial" w:cs="Arial"/>
          <w:b/>
          <w:spacing w:val="39"/>
          <w:sz w:val="24"/>
          <w:szCs w:val="24"/>
          <w:u w:val="single"/>
        </w:rPr>
      </w:pPr>
      <w:r w:rsidRPr="00270D8B">
        <w:rPr>
          <w:rFonts w:ascii="Arial" w:hAnsi="Arial" w:cs="Arial"/>
          <w:b/>
          <w:spacing w:val="-5"/>
          <w:sz w:val="24"/>
          <w:szCs w:val="24"/>
          <w:u w:val="single"/>
        </w:rPr>
        <w:t xml:space="preserve">1 - </w:t>
      </w:r>
      <w:r w:rsidR="004267A5" w:rsidRPr="00270D8B">
        <w:rPr>
          <w:rFonts w:ascii="Arial" w:hAnsi="Arial" w:cs="Arial"/>
          <w:b/>
          <w:spacing w:val="-5"/>
          <w:sz w:val="24"/>
          <w:szCs w:val="24"/>
          <w:u w:val="single"/>
        </w:rPr>
        <w:t>ANTECEDENTES:</w:t>
      </w:r>
      <w:r w:rsidR="004267A5" w:rsidRPr="00270D8B">
        <w:rPr>
          <w:rFonts w:ascii="Arial" w:hAnsi="Arial" w:cs="Arial"/>
          <w:b/>
          <w:spacing w:val="39"/>
          <w:sz w:val="24"/>
          <w:szCs w:val="24"/>
          <w:u w:val="single"/>
        </w:rPr>
        <w:t xml:space="preserve"> </w:t>
      </w:r>
    </w:p>
    <w:p w:rsidR="00270D8B" w:rsidRPr="00270D8B" w:rsidRDefault="00270D8B" w:rsidP="009B6431">
      <w:pPr>
        <w:tabs>
          <w:tab w:val="left" w:pos="1496"/>
        </w:tabs>
        <w:spacing w:before="1" w:line="360" w:lineRule="auto"/>
        <w:jc w:val="both"/>
        <w:rPr>
          <w:rFonts w:ascii="Arial" w:hAnsi="Arial" w:cs="Arial"/>
          <w:b/>
          <w:spacing w:val="39"/>
          <w:sz w:val="24"/>
          <w:szCs w:val="24"/>
          <w:u w:val="single"/>
        </w:rPr>
      </w:pPr>
    </w:p>
    <w:p w:rsidR="004E6860" w:rsidRPr="004E6860" w:rsidRDefault="004E6860" w:rsidP="009B6431">
      <w:pPr>
        <w:pStyle w:val="Prrafodelista"/>
        <w:numPr>
          <w:ilvl w:val="0"/>
          <w:numId w:val="3"/>
        </w:numPr>
        <w:tabs>
          <w:tab w:val="left" w:pos="1496"/>
        </w:tabs>
        <w:spacing w:before="1" w:line="360" w:lineRule="auto"/>
        <w:jc w:val="both"/>
        <w:rPr>
          <w:rFonts w:ascii="Arial" w:hAnsi="Arial" w:cs="Arial"/>
          <w:b/>
          <w:sz w:val="24"/>
          <w:szCs w:val="24"/>
        </w:rPr>
      </w:pPr>
      <w:r w:rsidRPr="004E6860">
        <w:rPr>
          <w:rFonts w:ascii="Arial" w:hAnsi="Arial" w:cs="Arial"/>
          <w:b/>
          <w:sz w:val="24"/>
          <w:szCs w:val="24"/>
        </w:rPr>
        <w:t>Locales</w:t>
      </w:r>
      <w:r>
        <w:rPr>
          <w:rFonts w:ascii="Arial" w:hAnsi="Arial" w:cs="Arial"/>
          <w:b/>
          <w:sz w:val="24"/>
          <w:szCs w:val="24"/>
        </w:rPr>
        <w:t>:</w:t>
      </w:r>
      <w:r w:rsidRPr="004E6860">
        <w:rPr>
          <w:rFonts w:ascii="Arial" w:hAnsi="Arial" w:cs="Arial"/>
          <w:sz w:val="24"/>
          <w:szCs w:val="24"/>
        </w:rPr>
        <w:t xml:space="preserve"> </w:t>
      </w:r>
      <w:r>
        <w:rPr>
          <w:rFonts w:ascii="Arial" w:hAnsi="Arial" w:cs="Arial"/>
          <w:sz w:val="24"/>
          <w:szCs w:val="24"/>
        </w:rPr>
        <w:t>S</w:t>
      </w:r>
      <w:r w:rsidRPr="00270D8B">
        <w:rPr>
          <w:rFonts w:ascii="Arial" w:hAnsi="Arial" w:cs="Arial"/>
          <w:sz w:val="24"/>
          <w:szCs w:val="24"/>
        </w:rPr>
        <w:t>e asignará el máximo puntaje previsto</w:t>
      </w:r>
      <w:r>
        <w:rPr>
          <w:rFonts w:ascii="Arial" w:hAnsi="Arial" w:cs="Arial"/>
          <w:sz w:val="24"/>
          <w:szCs w:val="24"/>
        </w:rPr>
        <w:t xml:space="preserve"> (10 puntos)</w:t>
      </w:r>
      <w:r w:rsidRPr="00270D8B">
        <w:rPr>
          <w:rFonts w:ascii="Arial" w:hAnsi="Arial" w:cs="Arial"/>
          <w:sz w:val="24"/>
          <w:szCs w:val="24"/>
        </w:rPr>
        <w:t>, a los oferentes que</w:t>
      </w:r>
      <w:r w:rsidRPr="00270D8B">
        <w:rPr>
          <w:rFonts w:ascii="Arial" w:hAnsi="Arial" w:cs="Arial"/>
          <w:spacing w:val="1"/>
          <w:sz w:val="24"/>
          <w:szCs w:val="24"/>
        </w:rPr>
        <w:t xml:space="preserve"> </w:t>
      </w:r>
      <w:r w:rsidRPr="00270D8B">
        <w:rPr>
          <w:rFonts w:ascii="Arial" w:hAnsi="Arial" w:cs="Arial"/>
          <w:sz w:val="24"/>
          <w:szCs w:val="24"/>
        </w:rPr>
        <w:t>acrediten una</w:t>
      </w:r>
      <w:r w:rsidRPr="00270D8B">
        <w:rPr>
          <w:rFonts w:ascii="Arial" w:hAnsi="Arial" w:cs="Arial"/>
          <w:spacing w:val="1"/>
          <w:sz w:val="24"/>
          <w:szCs w:val="24"/>
        </w:rPr>
        <w:t xml:space="preserve"> </w:t>
      </w:r>
      <w:r w:rsidRPr="00270D8B">
        <w:rPr>
          <w:rFonts w:ascii="Arial" w:hAnsi="Arial" w:cs="Arial"/>
          <w:sz w:val="24"/>
          <w:szCs w:val="24"/>
        </w:rPr>
        <w:t>provisión y colocación mínima</w:t>
      </w:r>
      <w:r w:rsidRPr="00270D8B">
        <w:rPr>
          <w:rFonts w:ascii="Arial" w:hAnsi="Arial" w:cs="Arial"/>
          <w:spacing w:val="1"/>
          <w:sz w:val="24"/>
          <w:szCs w:val="24"/>
        </w:rPr>
        <w:t xml:space="preserve"> </w:t>
      </w:r>
      <w:r w:rsidRPr="00270D8B">
        <w:rPr>
          <w:rFonts w:ascii="Arial" w:hAnsi="Arial" w:cs="Arial"/>
          <w:sz w:val="24"/>
          <w:szCs w:val="24"/>
        </w:rPr>
        <w:t>de</w:t>
      </w:r>
      <w:r w:rsidRPr="00270D8B">
        <w:rPr>
          <w:rFonts w:ascii="Arial" w:hAnsi="Arial" w:cs="Arial"/>
          <w:spacing w:val="1"/>
          <w:sz w:val="24"/>
          <w:szCs w:val="24"/>
        </w:rPr>
        <w:t xml:space="preserve"> </w:t>
      </w:r>
      <w:r w:rsidRPr="00270D8B">
        <w:rPr>
          <w:rFonts w:ascii="Arial" w:hAnsi="Arial" w:cs="Arial"/>
          <w:sz w:val="24"/>
          <w:szCs w:val="24"/>
        </w:rPr>
        <w:t>15.000</w:t>
      </w:r>
      <w:r w:rsidRPr="00270D8B">
        <w:rPr>
          <w:rFonts w:ascii="Arial" w:hAnsi="Arial" w:cs="Arial"/>
          <w:spacing w:val="60"/>
          <w:sz w:val="24"/>
          <w:szCs w:val="24"/>
        </w:rPr>
        <w:t xml:space="preserve"> </w:t>
      </w:r>
      <w:r w:rsidRPr="00270D8B">
        <w:rPr>
          <w:rFonts w:ascii="Arial" w:hAnsi="Arial" w:cs="Arial"/>
          <w:sz w:val="24"/>
          <w:szCs w:val="24"/>
        </w:rPr>
        <w:t>o más luminarias en el ámbito</w:t>
      </w:r>
      <w:r w:rsidRPr="00270D8B">
        <w:rPr>
          <w:rFonts w:ascii="Arial" w:hAnsi="Arial" w:cs="Arial"/>
          <w:spacing w:val="1"/>
          <w:sz w:val="24"/>
          <w:szCs w:val="24"/>
        </w:rPr>
        <w:t xml:space="preserve"> </w:t>
      </w:r>
      <w:r w:rsidRPr="00270D8B">
        <w:rPr>
          <w:rFonts w:ascii="Arial" w:hAnsi="Arial" w:cs="Arial"/>
          <w:sz w:val="24"/>
          <w:szCs w:val="24"/>
        </w:rPr>
        <w:t>local</w:t>
      </w:r>
      <w:r w:rsidRPr="00270D8B">
        <w:rPr>
          <w:rFonts w:ascii="Arial" w:hAnsi="Arial" w:cs="Arial"/>
          <w:spacing w:val="-4"/>
          <w:sz w:val="24"/>
          <w:szCs w:val="24"/>
        </w:rPr>
        <w:t xml:space="preserve"> </w:t>
      </w:r>
      <w:r w:rsidRPr="00270D8B">
        <w:rPr>
          <w:rFonts w:ascii="Arial" w:hAnsi="Arial" w:cs="Arial"/>
          <w:sz w:val="24"/>
          <w:szCs w:val="24"/>
        </w:rPr>
        <w:t>de</w:t>
      </w:r>
      <w:r w:rsidRPr="00270D8B">
        <w:rPr>
          <w:rFonts w:ascii="Arial" w:hAnsi="Arial" w:cs="Arial"/>
          <w:spacing w:val="10"/>
          <w:sz w:val="24"/>
          <w:szCs w:val="24"/>
        </w:rPr>
        <w:t xml:space="preserve"> </w:t>
      </w:r>
      <w:r w:rsidRPr="00270D8B">
        <w:rPr>
          <w:rFonts w:ascii="Arial" w:hAnsi="Arial" w:cs="Arial"/>
          <w:sz w:val="24"/>
          <w:szCs w:val="24"/>
        </w:rPr>
        <w:t>la</w:t>
      </w:r>
      <w:r w:rsidRPr="00270D8B">
        <w:rPr>
          <w:rFonts w:ascii="Arial" w:hAnsi="Arial" w:cs="Arial"/>
          <w:spacing w:val="10"/>
          <w:sz w:val="24"/>
          <w:szCs w:val="24"/>
        </w:rPr>
        <w:t xml:space="preserve"> </w:t>
      </w:r>
      <w:r w:rsidRPr="00270D8B">
        <w:rPr>
          <w:rFonts w:ascii="Arial" w:hAnsi="Arial" w:cs="Arial"/>
          <w:sz w:val="24"/>
          <w:szCs w:val="24"/>
        </w:rPr>
        <w:t>Provincia</w:t>
      </w:r>
      <w:r w:rsidRPr="00270D8B">
        <w:rPr>
          <w:rFonts w:ascii="Arial" w:hAnsi="Arial" w:cs="Arial"/>
          <w:spacing w:val="10"/>
          <w:sz w:val="24"/>
          <w:szCs w:val="24"/>
        </w:rPr>
        <w:t xml:space="preserve"> </w:t>
      </w:r>
      <w:r w:rsidRPr="00270D8B">
        <w:rPr>
          <w:rFonts w:ascii="Arial" w:hAnsi="Arial" w:cs="Arial"/>
          <w:sz w:val="24"/>
          <w:szCs w:val="24"/>
        </w:rPr>
        <w:t>de</w:t>
      </w:r>
      <w:r w:rsidRPr="00270D8B">
        <w:rPr>
          <w:rFonts w:ascii="Arial" w:hAnsi="Arial" w:cs="Arial"/>
          <w:spacing w:val="10"/>
          <w:sz w:val="24"/>
          <w:szCs w:val="24"/>
        </w:rPr>
        <w:t xml:space="preserve"> </w:t>
      </w:r>
      <w:r w:rsidRPr="00270D8B">
        <w:rPr>
          <w:rFonts w:ascii="Arial" w:hAnsi="Arial" w:cs="Arial"/>
          <w:sz w:val="24"/>
          <w:szCs w:val="24"/>
        </w:rPr>
        <w:t>Mendoza</w:t>
      </w:r>
      <w:r w:rsidRPr="004E6860">
        <w:rPr>
          <w:rFonts w:ascii="Arial" w:hAnsi="Arial" w:cs="Arial"/>
          <w:sz w:val="24"/>
          <w:szCs w:val="24"/>
        </w:rPr>
        <w:t xml:space="preserve"> </w:t>
      </w:r>
      <w:r w:rsidRPr="00270D8B">
        <w:rPr>
          <w:rFonts w:ascii="Arial" w:hAnsi="Arial" w:cs="Arial"/>
          <w:sz w:val="24"/>
          <w:szCs w:val="24"/>
        </w:rPr>
        <w:t>en los últimos tres años previos al acto de recepción de ofertas. Los demás</w:t>
      </w:r>
      <w:r w:rsidRPr="00270D8B">
        <w:rPr>
          <w:rFonts w:ascii="Arial" w:hAnsi="Arial" w:cs="Arial"/>
          <w:spacing w:val="1"/>
          <w:sz w:val="24"/>
          <w:szCs w:val="24"/>
        </w:rPr>
        <w:t xml:space="preserve"> </w:t>
      </w:r>
      <w:r w:rsidRPr="00270D8B">
        <w:rPr>
          <w:rFonts w:ascii="Arial" w:hAnsi="Arial" w:cs="Arial"/>
          <w:spacing w:val="-2"/>
          <w:sz w:val="24"/>
          <w:szCs w:val="24"/>
        </w:rPr>
        <w:t xml:space="preserve">oferentes </w:t>
      </w:r>
      <w:r w:rsidRPr="00270D8B">
        <w:rPr>
          <w:rFonts w:ascii="Arial" w:hAnsi="Arial" w:cs="Arial"/>
          <w:spacing w:val="-1"/>
          <w:sz w:val="24"/>
          <w:szCs w:val="24"/>
        </w:rPr>
        <w:t>serán calificados, conforme el número de antecedentes debidamente acreditados,</w:t>
      </w:r>
      <w:r w:rsidRPr="00270D8B">
        <w:rPr>
          <w:rFonts w:ascii="Arial" w:hAnsi="Arial" w:cs="Arial"/>
          <w:sz w:val="24"/>
          <w:szCs w:val="24"/>
        </w:rPr>
        <w:t xml:space="preserve"> aplicando la regla de proporcionalidad.</w:t>
      </w:r>
      <w:r>
        <w:rPr>
          <w:rFonts w:ascii="Arial" w:hAnsi="Arial" w:cs="Arial"/>
          <w:sz w:val="24"/>
          <w:szCs w:val="24"/>
        </w:rPr>
        <w:t xml:space="preserve"> </w:t>
      </w:r>
      <w:r w:rsidRPr="004E6860">
        <w:rPr>
          <w:rFonts w:ascii="Arial" w:hAnsi="Arial" w:cs="Arial"/>
          <w:sz w:val="24"/>
          <w:szCs w:val="24"/>
        </w:rPr>
        <w:t>En caso de oferentes que concurran bajo Contratos</w:t>
      </w:r>
      <w:r w:rsidRPr="004E6860">
        <w:rPr>
          <w:rFonts w:ascii="Arial" w:hAnsi="Arial" w:cs="Arial"/>
          <w:spacing w:val="1"/>
          <w:sz w:val="24"/>
          <w:szCs w:val="24"/>
        </w:rPr>
        <w:t xml:space="preserve"> </w:t>
      </w:r>
      <w:r w:rsidRPr="004E6860">
        <w:rPr>
          <w:rFonts w:ascii="Arial" w:hAnsi="Arial" w:cs="Arial"/>
          <w:sz w:val="24"/>
          <w:szCs w:val="24"/>
        </w:rPr>
        <w:t>Asociativos,</w:t>
      </w:r>
      <w:r w:rsidRPr="004E6860">
        <w:rPr>
          <w:rFonts w:ascii="Arial" w:hAnsi="Arial" w:cs="Arial"/>
          <w:spacing w:val="28"/>
          <w:sz w:val="24"/>
          <w:szCs w:val="24"/>
        </w:rPr>
        <w:t xml:space="preserve"> </w:t>
      </w:r>
      <w:r w:rsidRPr="004E6860">
        <w:rPr>
          <w:rFonts w:ascii="Arial" w:hAnsi="Arial" w:cs="Arial"/>
          <w:sz w:val="24"/>
          <w:szCs w:val="24"/>
        </w:rPr>
        <w:t>se</w:t>
      </w:r>
      <w:r w:rsidRPr="004E6860">
        <w:rPr>
          <w:rFonts w:ascii="Arial" w:hAnsi="Arial" w:cs="Arial"/>
          <w:spacing w:val="28"/>
          <w:sz w:val="24"/>
          <w:szCs w:val="24"/>
        </w:rPr>
        <w:t xml:space="preserve"> </w:t>
      </w:r>
      <w:r w:rsidRPr="004E6860">
        <w:rPr>
          <w:rFonts w:ascii="Arial" w:hAnsi="Arial" w:cs="Arial"/>
          <w:sz w:val="24"/>
          <w:szCs w:val="24"/>
        </w:rPr>
        <w:t>computarán</w:t>
      </w:r>
      <w:r w:rsidRPr="004E6860">
        <w:rPr>
          <w:rFonts w:ascii="Arial" w:hAnsi="Arial" w:cs="Arial"/>
          <w:spacing w:val="18"/>
          <w:sz w:val="24"/>
          <w:szCs w:val="24"/>
        </w:rPr>
        <w:t xml:space="preserve"> </w:t>
      </w:r>
      <w:r w:rsidRPr="004E6860">
        <w:rPr>
          <w:rFonts w:ascii="Arial" w:hAnsi="Arial" w:cs="Arial"/>
          <w:sz w:val="24"/>
          <w:szCs w:val="24"/>
        </w:rPr>
        <w:t>sumando</w:t>
      </w:r>
      <w:r w:rsidRPr="004E6860">
        <w:rPr>
          <w:rFonts w:ascii="Arial" w:hAnsi="Arial" w:cs="Arial"/>
          <w:spacing w:val="29"/>
          <w:sz w:val="24"/>
          <w:szCs w:val="24"/>
        </w:rPr>
        <w:t xml:space="preserve"> </w:t>
      </w:r>
      <w:r w:rsidRPr="004E6860">
        <w:rPr>
          <w:rFonts w:ascii="Arial" w:hAnsi="Arial" w:cs="Arial"/>
          <w:sz w:val="24"/>
          <w:szCs w:val="24"/>
        </w:rPr>
        <w:t>los</w:t>
      </w:r>
      <w:r w:rsidRPr="004E6860">
        <w:rPr>
          <w:rFonts w:ascii="Arial" w:hAnsi="Arial" w:cs="Arial"/>
          <w:spacing w:val="26"/>
          <w:sz w:val="24"/>
          <w:szCs w:val="24"/>
        </w:rPr>
        <w:t xml:space="preserve"> </w:t>
      </w:r>
      <w:r w:rsidRPr="004E6860">
        <w:rPr>
          <w:rFonts w:ascii="Arial" w:hAnsi="Arial" w:cs="Arial"/>
          <w:sz w:val="24"/>
          <w:szCs w:val="24"/>
        </w:rPr>
        <w:t>antecedentes</w:t>
      </w:r>
      <w:r w:rsidRPr="004E6860">
        <w:rPr>
          <w:rFonts w:ascii="Arial" w:hAnsi="Arial" w:cs="Arial"/>
          <w:spacing w:val="27"/>
          <w:sz w:val="24"/>
          <w:szCs w:val="24"/>
        </w:rPr>
        <w:t xml:space="preserve"> </w:t>
      </w:r>
      <w:r w:rsidRPr="004E6860">
        <w:rPr>
          <w:rFonts w:ascii="Arial" w:hAnsi="Arial" w:cs="Arial"/>
          <w:sz w:val="24"/>
          <w:szCs w:val="24"/>
        </w:rPr>
        <w:t>de</w:t>
      </w:r>
      <w:r w:rsidRPr="004E6860">
        <w:rPr>
          <w:rFonts w:ascii="Arial" w:hAnsi="Arial" w:cs="Arial"/>
          <w:spacing w:val="27"/>
          <w:sz w:val="24"/>
          <w:szCs w:val="24"/>
        </w:rPr>
        <w:t xml:space="preserve"> </w:t>
      </w:r>
      <w:r w:rsidRPr="004E6860">
        <w:rPr>
          <w:rFonts w:ascii="Arial" w:hAnsi="Arial" w:cs="Arial"/>
          <w:sz w:val="24"/>
          <w:szCs w:val="24"/>
        </w:rPr>
        <w:t>todas</w:t>
      </w:r>
      <w:r w:rsidRPr="004E6860">
        <w:rPr>
          <w:rFonts w:ascii="Arial" w:hAnsi="Arial" w:cs="Arial"/>
          <w:spacing w:val="30"/>
          <w:sz w:val="24"/>
          <w:szCs w:val="24"/>
        </w:rPr>
        <w:t xml:space="preserve"> </w:t>
      </w:r>
      <w:r w:rsidRPr="004E6860">
        <w:rPr>
          <w:rFonts w:ascii="Arial" w:hAnsi="Arial" w:cs="Arial"/>
          <w:sz w:val="24"/>
          <w:szCs w:val="24"/>
        </w:rPr>
        <w:t>las</w:t>
      </w:r>
      <w:r w:rsidRPr="004E6860">
        <w:rPr>
          <w:rFonts w:ascii="Arial" w:hAnsi="Arial" w:cs="Arial"/>
          <w:spacing w:val="27"/>
          <w:sz w:val="24"/>
          <w:szCs w:val="24"/>
        </w:rPr>
        <w:t xml:space="preserve"> </w:t>
      </w:r>
      <w:r w:rsidRPr="004E6860">
        <w:rPr>
          <w:rFonts w:ascii="Arial" w:hAnsi="Arial" w:cs="Arial"/>
          <w:sz w:val="24"/>
          <w:szCs w:val="24"/>
        </w:rPr>
        <w:t>empresas</w:t>
      </w:r>
      <w:r w:rsidRPr="004E6860">
        <w:rPr>
          <w:rFonts w:ascii="Arial" w:hAnsi="Arial" w:cs="Arial"/>
          <w:spacing w:val="16"/>
          <w:sz w:val="24"/>
          <w:szCs w:val="24"/>
        </w:rPr>
        <w:t xml:space="preserve"> </w:t>
      </w:r>
      <w:r w:rsidRPr="004E6860">
        <w:rPr>
          <w:rFonts w:ascii="Arial" w:hAnsi="Arial" w:cs="Arial"/>
          <w:sz w:val="24"/>
          <w:szCs w:val="24"/>
        </w:rPr>
        <w:t>integrantes.</w:t>
      </w:r>
      <w:r w:rsidRPr="004E6860">
        <w:rPr>
          <w:rFonts w:ascii="Arial" w:hAnsi="Arial" w:cs="Arial"/>
          <w:spacing w:val="-57"/>
          <w:sz w:val="24"/>
          <w:szCs w:val="24"/>
        </w:rPr>
        <w:t xml:space="preserve"> </w:t>
      </w:r>
      <w:r w:rsidRPr="004E6860">
        <w:rPr>
          <w:rFonts w:ascii="Arial" w:hAnsi="Arial" w:cs="Arial"/>
          <w:sz w:val="24"/>
          <w:szCs w:val="24"/>
        </w:rPr>
        <w:t>En aquellos casos que el oferente presente una Oferta Alternativa de servicio de Venta sin</w:t>
      </w:r>
      <w:r w:rsidRPr="004E6860">
        <w:rPr>
          <w:rFonts w:ascii="Arial" w:hAnsi="Arial" w:cs="Arial"/>
          <w:spacing w:val="1"/>
          <w:sz w:val="24"/>
          <w:szCs w:val="24"/>
        </w:rPr>
        <w:t xml:space="preserve"> </w:t>
      </w:r>
      <w:r w:rsidRPr="004E6860">
        <w:rPr>
          <w:rFonts w:ascii="Arial" w:hAnsi="Arial" w:cs="Arial"/>
          <w:sz w:val="24"/>
          <w:szCs w:val="24"/>
        </w:rPr>
        <w:t>Colocación,</w:t>
      </w:r>
      <w:r w:rsidRPr="004E6860">
        <w:rPr>
          <w:rFonts w:ascii="Arial" w:hAnsi="Arial" w:cs="Arial"/>
          <w:spacing w:val="1"/>
          <w:sz w:val="24"/>
          <w:szCs w:val="24"/>
        </w:rPr>
        <w:t xml:space="preserve"> </w:t>
      </w:r>
      <w:r w:rsidRPr="004E6860">
        <w:rPr>
          <w:rFonts w:ascii="Arial" w:hAnsi="Arial" w:cs="Arial"/>
          <w:sz w:val="24"/>
          <w:szCs w:val="24"/>
        </w:rPr>
        <w:t>deberá</w:t>
      </w:r>
      <w:r w:rsidRPr="004E6860">
        <w:rPr>
          <w:rFonts w:ascii="Arial" w:hAnsi="Arial" w:cs="Arial"/>
          <w:spacing w:val="1"/>
          <w:sz w:val="24"/>
          <w:szCs w:val="24"/>
        </w:rPr>
        <w:t xml:space="preserve"> </w:t>
      </w:r>
      <w:r w:rsidRPr="004E6860">
        <w:rPr>
          <w:rFonts w:ascii="Arial" w:hAnsi="Arial" w:cs="Arial"/>
          <w:sz w:val="24"/>
          <w:szCs w:val="24"/>
        </w:rPr>
        <w:t>acreditar</w:t>
      </w:r>
      <w:r w:rsidRPr="004E6860">
        <w:rPr>
          <w:rFonts w:ascii="Arial" w:hAnsi="Arial" w:cs="Arial"/>
          <w:spacing w:val="1"/>
          <w:sz w:val="24"/>
          <w:szCs w:val="24"/>
        </w:rPr>
        <w:t xml:space="preserve"> </w:t>
      </w:r>
      <w:r w:rsidRPr="004E6860">
        <w:rPr>
          <w:rFonts w:ascii="Arial" w:hAnsi="Arial" w:cs="Arial"/>
          <w:sz w:val="24"/>
          <w:szCs w:val="24"/>
        </w:rPr>
        <w:t>una</w:t>
      </w:r>
      <w:r w:rsidRPr="004E6860">
        <w:rPr>
          <w:rFonts w:ascii="Arial" w:hAnsi="Arial" w:cs="Arial"/>
          <w:spacing w:val="1"/>
          <w:sz w:val="24"/>
          <w:szCs w:val="24"/>
        </w:rPr>
        <w:t xml:space="preserve"> </w:t>
      </w:r>
      <w:r w:rsidRPr="004E6860">
        <w:rPr>
          <w:rFonts w:ascii="Arial" w:hAnsi="Arial" w:cs="Arial"/>
          <w:sz w:val="24"/>
          <w:szCs w:val="24"/>
        </w:rPr>
        <w:t>provisión mínima de 15.000 o más luminarias en el</w:t>
      </w:r>
      <w:r w:rsidRPr="004E6860">
        <w:rPr>
          <w:rFonts w:ascii="Arial" w:hAnsi="Arial" w:cs="Arial"/>
          <w:spacing w:val="1"/>
          <w:sz w:val="24"/>
          <w:szCs w:val="24"/>
        </w:rPr>
        <w:t xml:space="preserve"> </w:t>
      </w:r>
      <w:r w:rsidRPr="004E6860">
        <w:rPr>
          <w:rFonts w:ascii="Arial" w:hAnsi="Arial" w:cs="Arial"/>
          <w:sz w:val="24"/>
          <w:szCs w:val="24"/>
        </w:rPr>
        <w:t>ámbito local de la Provincia de Mendoza</w:t>
      </w:r>
      <w:r w:rsidRPr="004E6860">
        <w:rPr>
          <w:rFonts w:ascii="Arial" w:hAnsi="Arial" w:cs="Arial"/>
          <w:spacing w:val="1"/>
          <w:sz w:val="24"/>
          <w:szCs w:val="24"/>
        </w:rPr>
        <w:t xml:space="preserve"> </w:t>
      </w:r>
      <w:r w:rsidRPr="004E6860">
        <w:rPr>
          <w:rFonts w:ascii="Arial" w:hAnsi="Arial" w:cs="Arial"/>
          <w:sz w:val="24"/>
          <w:szCs w:val="24"/>
        </w:rPr>
        <w:t>en los</w:t>
      </w:r>
      <w:r w:rsidRPr="004E6860">
        <w:rPr>
          <w:rFonts w:ascii="Arial" w:hAnsi="Arial" w:cs="Arial"/>
          <w:spacing w:val="1"/>
          <w:sz w:val="24"/>
          <w:szCs w:val="24"/>
        </w:rPr>
        <w:t xml:space="preserve"> </w:t>
      </w:r>
      <w:r w:rsidRPr="004E6860">
        <w:rPr>
          <w:rFonts w:ascii="Arial" w:hAnsi="Arial" w:cs="Arial"/>
          <w:sz w:val="24"/>
          <w:szCs w:val="24"/>
        </w:rPr>
        <w:t>últimos</w:t>
      </w:r>
      <w:r w:rsidRPr="004E6860">
        <w:rPr>
          <w:rFonts w:ascii="Arial" w:hAnsi="Arial" w:cs="Arial"/>
          <w:spacing w:val="1"/>
          <w:sz w:val="24"/>
          <w:szCs w:val="24"/>
        </w:rPr>
        <w:t xml:space="preserve"> </w:t>
      </w:r>
      <w:r w:rsidRPr="004E6860">
        <w:rPr>
          <w:rFonts w:ascii="Arial" w:hAnsi="Arial" w:cs="Arial"/>
          <w:sz w:val="24"/>
          <w:szCs w:val="24"/>
        </w:rPr>
        <w:t>tres</w:t>
      </w:r>
      <w:r w:rsidRPr="004E6860">
        <w:rPr>
          <w:rFonts w:ascii="Arial" w:hAnsi="Arial" w:cs="Arial"/>
          <w:spacing w:val="1"/>
          <w:sz w:val="24"/>
          <w:szCs w:val="24"/>
        </w:rPr>
        <w:t xml:space="preserve"> </w:t>
      </w:r>
      <w:r w:rsidRPr="004E6860">
        <w:rPr>
          <w:rFonts w:ascii="Arial" w:hAnsi="Arial" w:cs="Arial"/>
          <w:sz w:val="24"/>
          <w:szCs w:val="24"/>
        </w:rPr>
        <w:t>años</w:t>
      </w:r>
      <w:r w:rsidRPr="004E6860">
        <w:rPr>
          <w:rFonts w:ascii="Arial" w:hAnsi="Arial" w:cs="Arial"/>
          <w:spacing w:val="1"/>
          <w:sz w:val="24"/>
          <w:szCs w:val="24"/>
        </w:rPr>
        <w:t xml:space="preserve"> </w:t>
      </w:r>
      <w:r w:rsidRPr="004E6860">
        <w:rPr>
          <w:rFonts w:ascii="Arial" w:hAnsi="Arial" w:cs="Arial"/>
          <w:sz w:val="24"/>
          <w:szCs w:val="24"/>
        </w:rPr>
        <w:t>previos</w:t>
      </w:r>
      <w:r w:rsidRPr="004E6860">
        <w:rPr>
          <w:rFonts w:ascii="Arial" w:hAnsi="Arial" w:cs="Arial"/>
          <w:spacing w:val="1"/>
          <w:sz w:val="24"/>
          <w:szCs w:val="24"/>
        </w:rPr>
        <w:t xml:space="preserve"> </w:t>
      </w:r>
      <w:r w:rsidRPr="004E6860">
        <w:rPr>
          <w:rFonts w:ascii="Arial" w:hAnsi="Arial" w:cs="Arial"/>
          <w:sz w:val="24"/>
          <w:szCs w:val="24"/>
        </w:rPr>
        <w:t>al acto</w:t>
      </w:r>
      <w:r w:rsidRPr="004E6860">
        <w:rPr>
          <w:rFonts w:ascii="Arial" w:hAnsi="Arial" w:cs="Arial"/>
          <w:spacing w:val="60"/>
          <w:sz w:val="24"/>
          <w:szCs w:val="24"/>
        </w:rPr>
        <w:t xml:space="preserve"> </w:t>
      </w:r>
      <w:r w:rsidRPr="004E6860">
        <w:rPr>
          <w:rFonts w:ascii="Arial" w:hAnsi="Arial" w:cs="Arial"/>
          <w:sz w:val="24"/>
          <w:szCs w:val="24"/>
        </w:rPr>
        <w:t>de</w:t>
      </w:r>
      <w:r w:rsidRPr="004E6860">
        <w:rPr>
          <w:rFonts w:ascii="Arial" w:hAnsi="Arial" w:cs="Arial"/>
          <w:spacing w:val="60"/>
          <w:sz w:val="24"/>
          <w:szCs w:val="24"/>
        </w:rPr>
        <w:t xml:space="preserve"> </w:t>
      </w:r>
      <w:r w:rsidRPr="004E6860">
        <w:rPr>
          <w:rFonts w:ascii="Arial" w:hAnsi="Arial" w:cs="Arial"/>
          <w:sz w:val="24"/>
          <w:szCs w:val="24"/>
        </w:rPr>
        <w:t>recepción de ofertas y no</w:t>
      </w:r>
      <w:r w:rsidRPr="004E6860">
        <w:rPr>
          <w:rFonts w:ascii="Arial" w:hAnsi="Arial" w:cs="Arial"/>
          <w:spacing w:val="1"/>
          <w:sz w:val="24"/>
          <w:szCs w:val="24"/>
        </w:rPr>
        <w:t xml:space="preserve"> </w:t>
      </w:r>
      <w:r w:rsidRPr="004E6860">
        <w:rPr>
          <w:rFonts w:ascii="Arial" w:hAnsi="Arial" w:cs="Arial"/>
          <w:sz w:val="24"/>
          <w:szCs w:val="24"/>
        </w:rPr>
        <w:t>podrá acceder (ni computársele) al puntaje determinado como Oferta Básica Completa</w:t>
      </w:r>
      <w:r w:rsidRPr="004E6860">
        <w:rPr>
          <w:rFonts w:ascii="Arial" w:hAnsi="Arial" w:cs="Arial"/>
          <w:spacing w:val="1"/>
          <w:sz w:val="24"/>
          <w:szCs w:val="24"/>
        </w:rPr>
        <w:t xml:space="preserve"> </w:t>
      </w:r>
      <w:r w:rsidRPr="004E6860">
        <w:rPr>
          <w:rFonts w:ascii="Arial" w:hAnsi="Arial" w:cs="Arial"/>
          <w:sz w:val="24"/>
          <w:szCs w:val="24"/>
        </w:rPr>
        <w:t>(ofrecimiento</w:t>
      </w:r>
      <w:r w:rsidRPr="004E6860">
        <w:rPr>
          <w:rFonts w:ascii="Arial" w:hAnsi="Arial" w:cs="Arial"/>
          <w:spacing w:val="7"/>
          <w:sz w:val="24"/>
          <w:szCs w:val="24"/>
        </w:rPr>
        <w:t xml:space="preserve"> </w:t>
      </w:r>
      <w:r w:rsidRPr="004E6860">
        <w:rPr>
          <w:rFonts w:ascii="Arial" w:hAnsi="Arial" w:cs="Arial"/>
          <w:sz w:val="24"/>
          <w:szCs w:val="24"/>
        </w:rPr>
        <w:t>del</w:t>
      </w:r>
      <w:r w:rsidRPr="004E6860">
        <w:rPr>
          <w:rFonts w:ascii="Arial" w:hAnsi="Arial" w:cs="Arial"/>
          <w:spacing w:val="4"/>
          <w:sz w:val="24"/>
          <w:szCs w:val="24"/>
        </w:rPr>
        <w:t xml:space="preserve"> </w:t>
      </w:r>
      <w:r w:rsidRPr="004E6860">
        <w:rPr>
          <w:rFonts w:ascii="Arial" w:hAnsi="Arial" w:cs="Arial"/>
          <w:sz w:val="24"/>
          <w:szCs w:val="24"/>
        </w:rPr>
        <w:t>servicio</w:t>
      </w:r>
      <w:r w:rsidRPr="004E6860">
        <w:rPr>
          <w:rFonts w:ascii="Arial" w:hAnsi="Arial" w:cs="Arial"/>
          <w:spacing w:val="53"/>
          <w:sz w:val="24"/>
          <w:szCs w:val="24"/>
        </w:rPr>
        <w:t xml:space="preserve"> </w:t>
      </w:r>
      <w:r w:rsidRPr="004E6860">
        <w:rPr>
          <w:rFonts w:ascii="Arial" w:hAnsi="Arial" w:cs="Arial"/>
          <w:sz w:val="24"/>
          <w:szCs w:val="24"/>
        </w:rPr>
        <w:t>de</w:t>
      </w:r>
      <w:r w:rsidRPr="004E6860">
        <w:rPr>
          <w:rFonts w:ascii="Arial" w:hAnsi="Arial" w:cs="Arial"/>
          <w:spacing w:val="-6"/>
          <w:sz w:val="24"/>
          <w:szCs w:val="24"/>
        </w:rPr>
        <w:t xml:space="preserve"> </w:t>
      </w:r>
      <w:r w:rsidRPr="004E6860">
        <w:rPr>
          <w:rFonts w:ascii="Arial" w:hAnsi="Arial" w:cs="Arial"/>
          <w:sz w:val="24"/>
          <w:szCs w:val="24"/>
        </w:rPr>
        <w:t>Venta</w:t>
      </w:r>
      <w:r w:rsidRPr="004E6860">
        <w:rPr>
          <w:rFonts w:ascii="Arial" w:hAnsi="Arial" w:cs="Arial"/>
          <w:spacing w:val="37"/>
          <w:sz w:val="24"/>
          <w:szCs w:val="24"/>
        </w:rPr>
        <w:t xml:space="preserve"> </w:t>
      </w:r>
      <w:r w:rsidRPr="004E6860">
        <w:rPr>
          <w:rFonts w:ascii="Arial" w:hAnsi="Arial" w:cs="Arial"/>
          <w:sz w:val="24"/>
          <w:szCs w:val="24"/>
        </w:rPr>
        <w:t>y</w:t>
      </w:r>
      <w:r w:rsidRPr="004E6860">
        <w:rPr>
          <w:rFonts w:ascii="Arial" w:hAnsi="Arial" w:cs="Arial"/>
          <w:spacing w:val="-4"/>
          <w:sz w:val="24"/>
          <w:szCs w:val="24"/>
        </w:rPr>
        <w:t xml:space="preserve"> </w:t>
      </w:r>
      <w:r w:rsidRPr="004E6860">
        <w:rPr>
          <w:rFonts w:ascii="Arial" w:hAnsi="Arial" w:cs="Arial"/>
          <w:sz w:val="24"/>
          <w:szCs w:val="24"/>
        </w:rPr>
        <w:t>Colocación).</w:t>
      </w:r>
      <w:r w:rsidRPr="004E6860">
        <w:rPr>
          <w:rFonts w:ascii="Arial" w:hAnsi="Arial" w:cs="Arial"/>
          <w:spacing w:val="57"/>
          <w:sz w:val="24"/>
          <w:szCs w:val="24"/>
        </w:rPr>
        <w:t xml:space="preserve"> </w:t>
      </w:r>
    </w:p>
    <w:p w:rsidR="004E6860" w:rsidRDefault="004E6860" w:rsidP="009B6431">
      <w:pPr>
        <w:pStyle w:val="Prrafodelista"/>
        <w:tabs>
          <w:tab w:val="left" w:pos="1496"/>
        </w:tabs>
        <w:spacing w:before="1" w:line="360" w:lineRule="auto"/>
        <w:ind w:left="720" w:firstLine="0"/>
        <w:jc w:val="both"/>
        <w:rPr>
          <w:rFonts w:ascii="Arial" w:hAnsi="Arial" w:cs="Arial"/>
          <w:b/>
          <w:sz w:val="24"/>
          <w:szCs w:val="24"/>
        </w:rPr>
      </w:pPr>
    </w:p>
    <w:p w:rsidR="004E6860" w:rsidRPr="004E6860" w:rsidRDefault="004E6860" w:rsidP="009B6431">
      <w:pPr>
        <w:pStyle w:val="Prrafodelista"/>
        <w:numPr>
          <w:ilvl w:val="0"/>
          <w:numId w:val="3"/>
        </w:numPr>
        <w:tabs>
          <w:tab w:val="left" w:pos="1496"/>
        </w:tabs>
        <w:spacing w:before="1" w:line="360" w:lineRule="auto"/>
        <w:jc w:val="both"/>
        <w:rPr>
          <w:rFonts w:ascii="Arial" w:hAnsi="Arial" w:cs="Arial"/>
          <w:b/>
          <w:sz w:val="24"/>
          <w:szCs w:val="24"/>
        </w:rPr>
      </w:pPr>
      <w:r w:rsidRPr="004E6860">
        <w:rPr>
          <w:rFonts w:ascii="Arial" w:hAnsi="Arial" w:cs="Arial"/>
          <w:b/>
          <w:sz w:val="24"/>
          <w:szCs w:val="24"/>
        </w:rPr>
        <w:t>Nacionales</w:t>
      </w:r>
      <w:r>
        <w:rPr>
          <w:rFonts w:ascii="Arial" w:hAnsi="Arial" w:cs="Arial"/>
          <w:b/>
          <w:sz w:val="24"/>
          <w:szCs w:val="24"/>
        </w:rPr>
        <w:t>:</w:t>
      </w:r>
      <w:r w:rsidRPr="004E6860">
        <w:rPr>
          <w:rFonts w:ascii="Arial" w:hAnsi="Arial" w:cs="Arial"/>
          <w:sz w:val="24"/>
          <w:szCs w:val="24"/>
        </w:rPr>
        <w:t xml:space="preserve"> </w:t>
      </w:r>
      <w:r>
        <w:rPr>
          <w:rFonts w:ascii="Arial" w:hAnsi="Arial" w:cs="Arial"/>
          <w:sz w:val="24"/>
          <w:szCs w:val="24"/>
        </w:rPr>
        <w:t>S</w:t>
      </w:r>
      <w:r w:rsidRPr="00270D8B">
        <w:rPr>
          <w:rFonts w:ascii="Arial" w:hAnsi="Arial" w:cs="Arial"/>
          <w:sz w:val="24"/>
          <w:szCs w:val="24"/>
        </w:rPr>
        <w:t>e asignará el máximo puntaje previsto</w:t>
      </w:r>
      <w:r>
        <w:rPr>
          <w:rFonts w:ascii="Arial" w:hAnsi="Arial" w:cs="Arial"/>
          <w:sz w:val="24"/>
          <w:szCs w:val="24"/>
        </w:rPr>
        <w:t xml:space="preserve"> (10 puntos)</w:t>
      </w:r>
      <w:r w:rsidRPr="00270D8B">
        <w:rPr>
          <w:rFonts w:ascii="Arial" w:hAnsi="Arial" w:cs="Arial"/>
          <w:sz w:val="24"/>
          <w:szCs w:val="24"/>
        </w:rPr>
        <w:t>, a los oferentes que</w:t>
      </w:r>
      <w:r w:rsidRPr="00270D8B">
        <w:rPr>
          <w:rFonts w:ascii="Arial" w:hAnsi="Arial" w:cs="Arial"/>
          <w:spacing w:val="1"/>
          <w:sz w:val="24"/>
          <w:szCs w:val="24"/>
        </w:rPr>
        <w:t xml:space="preserve"> </w:t>
      </w:r>
      <w:r w:rsidRPr="00270D8B">
        <w:rPr>
          <w:rFonts w:ascii="Arial" w:hAnsi="Arial" w:cs="Arial"/>
          <w:sz w:val="24"/>
          <w:szCs w:val="24"/>
        </w:rPr>
        <w:lastRenderedPageBreak/>
        <w:t>acrediten una</w:t>
      </w:r>
      <w:r w:rsidRPr="00270D8B">
        <w:rPr>
          <w:rFonts w:ascii="Arial" w:hAnsi="Arial" w:cs="Arial"/>
          <w:spacing w:val="1"/>
          <w:sz w:val="24"/>
          <w:szCs w:val="24"/>
        </w:rPr>
        <w:t xml:space="preserve"> </w:t>
      </w:r>
      <w:r w:rsidRPr="00270D8B">
        <w:rPr>
          <w:rFonts w:ascii="Arial" w:hAnsi="Arial" w:cs="Arial"/>
          <w:sz w:val="24"/>
          <w:szCs w:val="24"/>
        </w:rPr>
        <w:t>provisión y colocación mínima</w:t>
      </w:r>
      <w:r w:rsidRPr="00270D8B">
        <w:rPr>
          <w:rFonts w:ascii="Arial" w:hAnsi="Arial" w:cs="Arial"/>
          <w:spacing w:val="1"/>
          <w:sz w:val="24"/>
          <w:szCs w:val="24"/>
        </w:rPr>
        <w:t xml:space="preserve"> </w:t>
      </w:r>
      <w:r w:rsidRPr="00270D8B">
        <w:rPr>
          <w:rFonts w:ascii="Arial" w:hAnsi="Arial" w:cs="Arial"/>
          <w:sz w:val="24"/>
          <w:szCs w:val="24"/>
        </w:rPr>
        <w:t>de</w:t>
      </w:r>
      <w:r w:rsidRPr="00270D8B">
        <w:rPr>
          <w:rFonts w:ascii="Arial" w:hAnsi="Arial" w:cs="Arial"/>
          <w:spacing w:val="1"/>
          <w:sz w:val="24"/>
          <w:szCs w:val="24"/>
        </w:rPr>
        <w:t xml:space="preserve"> </w:t>
      </w:r>
      <w:r w:rsidRPr="00270D8B">
        <w:rPr>
          <w:rFonts w:ascii="Arial" w:hAnsi="Arial" w:cs="Arial"/>
          <w:sz w:val="24"/>
          <w:szCs w:val="24"/>
        </w:rPr>
        <w:t>50.000</w:t>
      </w:r>
      <w:r w:rsidRPr="00270D8B">
        <w:rPr>
          <w:rFonts w:ascii="Arial" w:hAnsi="Arial" w:cs="Arial"/>
          <w:spacing w:val="1"/>
          <w:sz w:val="24"/>
          <w:szCs w:val="24"/>
        </w:rPr>
        <w:t xml:space="preserve"> </w:t>
      </w:r>
      <w:r w:rsidRPr="00270D8B">
        <w:rPr>
          <w:rFonts w:ascii="Arial" w:hAnsi="Arial" w:cs="Arial"/>
          <w:sz w:val="24"/>
          <w:szCs w:val="24"/>
        </w:rPr>
        <w:t>o</w:t>
      </w:r>
      <w:r w:rsidRPr="00270D8B">
        <w:rPr>
          <w:rFonts w:ascii="Arial" w:hAnsi="Arial" w:cs="Arial"/>
          <w:spacing w:val="1"/>
          <w:sz w:val="24"/>
          <w:szCs w:val="24"/>
        </w:rPr>
        <w:t xml:space="preserve"> </w:t>
      </w:r>
      <w:r w:rsidRPr="00270D8B">
        <w:rPr>
          <w:rFonts w:ascii="Arial" w:hAnsi="Arial" w:cs="Arial"/>
          <w:sz w:val="24"/>
          <w:szCs w:val="24"/>
        </w:rPr>
        <w:t>más</w:t>
      </w:r>
      <w:r w:rsidRPr="00270D8B">
        <w:rPr>
          <w:rFonts w:ascii="Arial" w:hAnsi="Arial" w:cs="Arial"/>
          <w:spacing w:val="-1"/>
          <w:sz w:val="24"/>
          <w:szCs w:val="24"/>
        </w:rPr>
        <w:t xml:space="preserve"> </w:t>
      </w:r>
      <w:r w:rsidRPr="00270D8B">
        <w:rPr>
          <w:rFonts w:ascii="Arial" w:hAnsi="Arial" w:cs="Arial"/>
          <w:sz w:val="24"/>
          <w:szCs w:val="24"/>
        </w:rPr>
        <w:t>luminarias</w:t>
      </w:r>
      <w:r w:rsidRPr="00270D8B">
        <w:rPr>
          <w:rFonts w:ascii="Arial" w:hAnsi="Arial" w:cs="Arial"/>
          <w:spacing w:val="-2"/>
          <w:sz w:val="24"/>
          <w:szCs w:val="24"/>
        </w:rPr>
        <w:t xml:space="preserve"> </w:t>
      </w:r>
      <w:r w:rsidRPr="00270D8B">
        <w:rPr>
          <w:rFonts w:ascii="Arial" w:hAnsi="Arial" w:cs="Arial"/>
          <w:sz w:val="24"/>
          <w:szCs w:val="24"/>
        </w:rPr>
        <w:t>en</w:t>
      </w:r>
      <w:r w:rsidRPr="00270D8B">
        <w:rPr>
          <w:rFonts w:ascii="Arial" w:hAnsi="Arial" w:cs="Arial"/>
          <w:spacing w:val="-8"/>
          <w:sz w:val="24"/>
          <w:szCs w:val="24"/>
        </w:rPr>
        <w:t xml:space="preserve"> </w:t>
      </w:r>
      <w:r w:rsidRPr="00270D8B">
        <w:rPr>
          <w:rFonts w:ascii="Arial" w:hAnsi="Arial" w:cs="Arial"/>
          <w:sz w:val="24"/>
          <w:szCs w:val="24"/>
        </w:rPr>
        <w:t>el</w:t>
      </w:r>
      <w:r w:rsidRPr="00270D8B">
        <w:rPr>
          <w:rFonts w:ascii="Arial" w:hAnsi="Arial" w:cs="Arial"/>
          <w:spacing w:val="-14"/>
          <w:sz w:val="24"/>
          <w:szCs w:val="24"/>
        </w:rPr>
        <w:t xml:space="preserve"> </w:t>
      </w:r>
      <w:r w:rsidRPr="00270D8B">
        <w:rPr>
          <w:rFonts w:ascii="Arial" w:hAnsi="Arial" w:cs="Arial"/>
          <w:sz w:val="24"/>
          <w:szCs w:val="24"/>
        </w:rPr>
        <w:t>ámbito Nacional,</w:t>
      </w:r>
      <w:r w:rsidRPr="00270D8B">
        <w:rPr>
          <w:rFonts w:ascii="Arial" w:hAnsi="Arial" w:cs="Arial"/>
          <w:spacing w:val="1"/>
          <w:sz w:val="24"/>
          <w:szCs w:val="24"/>
        </w:rPr>
        <w:t xml:space="preserve"> </w:t>
      </w:r>
      <w:r w:rsidRPr="00270D8B">
        <w:rPr>
          <w:rFonts w:ascii="Arial" w:hAnsi="Arial" w:cs="Arial"/>
          <w:sz w:val="24"/>
          <w:szCs w:val="24"/>
        </w:rPr>
        <w:t>en los últimos tres años previos al acto de recepción de ofertas. Los demás</w:t>
      </w:r>
      <w:r w:rsidRPr="00270D8B">
        <w:rPr>
          <w:rFonts w:ascii="Arial" w:hAnsi="Arial" w:cs="Arial"/>
          <w:spacing w:val="1"/>
          <w:sz w:val="24"/>
          <w:szCs w:val="24"/>
        </w:rPr>
        <w:t xml:space="preserve"> </w:t>
      </w:r>
      <w:r w:rsidRPr="00270D8B">
        <w:rPr>
          <w:rFonts w:ascii="Arial" w:hAnsi="Arial" w:cs="Arial"/>
          <w:spacing w:val="-2"/>
          <w:sz w:val="24"/>
          <w:szCs w:val="24"/>
        </w:rPr>
        <w:t xml:space="preserve">oferentes </w:t>
      </w:r>
      <w:r w:rsidRPr="00270D8B">
        <w:rPr>
          <w:rFonts w:ascii="Arial" w:hAnsi="Arial" w:cs="Arial"/>
          <w:spacing w:val="-1"/>
          <w:sz w:val="24"/>
          <w:szCs w:val="24"/>
        </w:rPr>
        <w:t>serán calificados, conforme el número de antecedentes debidamente acreditados,</w:t>
      </w:r>
      <w:r w:rsidRPr="00270D8B">
        <w:rPr>
          <w:rFonts w:ascii="Arial" w:hAnsi="Arial" w:cs="Arial"/>
          <w:sz w:val="24"/>
          <w:szCs w:val="24"/>
        </w:rPr>
        <w:t xml:space="preserve"> aplicando la regla de proporcionalidad.</w:t>
      </w:r>
      <w:r>
        <w:rPr>
          <w:rFonts w:ascii="Arial" w:hAnsi="Arial" w:cs="Arial"/>
          <w:sz w:val="24"/>
          <w:szCs w:val="24"/>
        </w:rPr>
        <w:t xml:space="preserve"> </w:t>
      </w:r>
      <w:r w:rsidRPr="004E6860">
        <w:rPr>
          <w:rFonts w:ascii="Arial" w:hAnsi="Arial" w:cs="Arial"/>
          <w:sz w:val="24"/>
          <w:szCs w:val="24"/>
        </w:rPr>
        <w:t>En caso de oferentes que concurran bajo Contratos</w:t>
      </w:r>
      <w:r w:rsidRPr="004E6860">
        <w:rPr>
          <w:rFonts w:ascii="Arial" w:hAnsi="Arial" w:cs="Arial"/>
          <w:spacing w:val="1"/>
          <w:sz w:val="24"/>
          <w:szCs w:val="24"/>
        </w:rPr>
        <w:t xml:space="preserve"> </w:t>
      </w:r>
      <w:r w:rsidRPr="004E6860">
        <w:rPr>
          <w:rFonts w:ascii="Arial" w:hAnsi="Arial" w:cs="Arial"/>
          <w:sz w:val="24"/>
          <w:szCs w:val="24"/>
        </w:rPr>
        <w:t>Asociativos,</w:t>
      </w:r>
      <w:r w:rsidRPr="004E6860">
        <w:rPr>
          <w:rFonts w:ascii="Arial" w:hAnsi="Arial" w:cs="Arial"/>
          <w:spacing w:val="28"/>
          <w:sz w:val="24"/>
          <w:szCs w:val="24"/>
        </w:rPr>
        <w:t xml:space="preserve"> </w:t>
      </w:r>
      <w:r w:rsidRPr="004E6860">
        <w:rPr>
          <w:rFonts w:ascii="Arial" w:hAnsi="Arial" w:cs="Arial"/>
          <w:sz w:val="24"/>
          <w:szCs w:val="24"/>
        </w:rPr>
        <w:t>se</w:t>
      </w:r>
      <w:r w:rsidRPr="004E6860">
        <w:rPr>
          <w:rFonts w:ascii="Arial" w:hAnsi="Arial" w:cs="Arial"/>
          <w:spacing w:val="28"/>
          <w:sz w:val="24"/>
          <w:szCs w:val="24"/>
        </w:rPr>
        <w:t xml:space="preserve"> </w:t>
      </w:r>
      <w:r w:rsidRPr="004E6860">
        <w:rPr>
          <w:rFonts w:ascii="Arial" w:hAnsi="Arial" w:cs="Arial"/>
          <w:sz w:val="24"/>
          <w:szCs w:val="24"/>
        </w:rPr>
        <w:t>computarán</w:t>
      </w:r>
      <w:r w:rsidRPr="004E6860">
        <w:rPr>
          <w:rFonts w:ascii="Arial" w:hAnsi="Arial" w:cs="Arial"/>
          <w:spacing w:val="18"/>
          <w:sz w:val="24"/>
          <w:szCs w:val="24"/>
        </w:rPr>
        <w:t xml:space="preserve"> </w:t>
      </w:r>
      <w:r w:rsidRPr="004E6860">
        <w:rPr>
          <w:rFonts w:ascii="Arial" w:hAnsi="Arial" w:cs="Arial"/>
          <w:sz w:val="24"/>
          <w:szCs w:val="24"/>
        </w:rPr>
        <w:t>sumando</w:t>
      </w:r>
      <w:r w:rsidRPr="004E6860">
        <w:rPr>
          <w:rFonts w:ascii="Arial" w:hAnsi="Arial" w:cs="Arial"/>
          <w:spacing w:val="29"/>
          <w:sz w:val="24"/>
          <w:szCs w:val="24"/>
        </w:rPr>
        <w:t xml:space="preserve"> </w:t>
      </w:r>
      <w:r w:rsidRPr="004E6860">
        <w:rPr>
          <w:rFonts w:ascii="Arial" w:hAnsi="Arial" w:cs="Arial"/>
          <w:sz w:val="24"/>
          <w:szCs w:val="24"/>
        </w:rPr>
        <w:t>los</w:t>
      </w:r>
      <w:r w:rsidRPr="004E6860">
        <w:rPr>
          <w:rFonts w:ascii="Arial" w:hAnsi="Arial" w:cs="Arial"/>
          <w:spacing w:val="26"/>
          <w:sz w:val="24"/>
          <w:szCs w:val="24"/>
        </w:rPr>
        <w:t xml:space="preserve"> </w:t>
      </w:r>
      <w:r w:rsidRPr="004E6860">
        <w:rPr>
          <w:rFonts w:ascii="Arial" w:hAnsi="Arial" w:cs="Arial"/>
          <w:sz w:val="24"/>
          <w:szCs w:val="24"/>
        </w:rPr>
        <w:t>antecedentes</w:t>
      </w:r>
      <w:r w:rsidRPr="004E6860">
        <w:rPr>
          <w:rFonts w:ascii="Arial" w:hAnsi="Arial" w:cs="Arial"/>
          <w:spacing w:val="27"/>
          <w:sz w:val="24"/>
          <w:szCs w:val="24"/>
        </w:rPr>
        <w:t xml:space="preserve"> </w:t>
      </w:r>
      <w:r w:rsidRPr="004E6860">
        <w:rPr>
          <w:rFonts w:ascii="Arial" w:hAnsi="Arial" w:cs="Arial"/>
          <w:sz w:val="24"/>
          <w:szCs w:val="24"/>
        </w:rPr>
        <w:t>de</w:t>
      </w:r>
      <w:r w:rsidRPr="004E6860">
        <w:rPr>
          <w:rFonts w:ascii="Arial" w:hAnsi="Arial" w:cs="Arial"/>
          <w:spacing w:val="27"/>
          <w:sz w:val="24"/>
          <w:szCs w:val="24"/>
        </w:rPr>
        <w:t xml:space="preserve"> </w:t>
      </w:r>
      <w:r w:rsidRPr="004E6860">
        <w:rPr>
          <w:rFonts w:ascii="Arial" w:hAnsi="Arial" w:cs="Arial"/>
          <w:sz w:val="24"/>
          <w:szCs w:val="24"/>
        </w:rPr>
        <w:t>todas</w:t>
      </w:r>
      <w:r w:rsidRPr="004E6860">
        <w:rPr>
          <w:rFonts w:ascii="Arial" w:hAnsi="Arial" w:cs="Arial"/>
          <w:spacing w:val="30"/>
          <w:sz w:val="24"/>
          <w:szCs w:val="24"/>
        </w:rPr>
        <w:t xml:space="preserve"> </w:t>
      </w:r>
      <w:r w:rsidRPr="004E6860">
        <w:rPr>
          <w:rFonts w:ascii="Arial" w:hAnsi="Arial" w:cs="Arial"/>
          <w:sz w:val="24"/>
          <w:szCs w:val="24"/>
        </w:rPr>
        <w:t>las</w:t>
      </w:r>
      <w:r w:rsidRPr="004E6860">
        <w:rPr>
          <w:rFonts w:ascii="Arial" w:hAnsi="Arial" w:cs="Arial"/>
          <w:spacing w:val="27"/>
          <w:sz w:val="24"/>
          <w:szCs w:val="24"/>
        </w:rPr>
        <w:t xml:space="preserve"> </w:t>
      </w:r>
      <w:r w:rsidRPr="004E6860">
        <w:rPr>
          <w:rFonts w:ascii="Arial" w:hAnsi="Arial" w:cs="Arial"/>
          <w:sz w:val="24"/>
          <w:szCs w:val="24"/>
        </w:rPr>
        <w:t>empresas</w:t>
      </w:r>
      <w:r w:rsidRPr="004E6860">
        <w:rPr>
          <w:rFonts w:ascii="Arial" w:hAnsi="Arial" w:cs="Arial"/>
          <w:spacing w:val="16"/>
          <w:sz w:val="24"/>
          <w:szCs w:val="24"/>
        </w:rPr>
        <w:t xml:space="preserve"> </w:t>
      </w:r>
      <w:r w:rsidRPr="004E6860">
        <w:rPr>
          <w:rFonts w:ascii="Arial" w:hAnsi="Arial" w:cs="Arial"/>
          <w:sz w:val="24"/>
          <w:szCs w:val="24"/>
        </w:rPr>
        <w:t>integrantes.</w:t>
      </w:r>
      <w:r w:rsidRPr="004E6860">
        <w:rPr>
          <w:rFonts w:ascii="Arial" w:hAnsi="Arial" w:cs="Arial"/>
          <w:spacing w:val="-57"/>
          <w:sz w:val="24"/>
          <w:szCs w:val="24"/>
        </w:rPr>
        <w:t xml:space="preserve"> </w:t>
      </w:r>
      <w:r w:rsidRPr="004E6860">
        <w:rPr>
          <w:rFonts w:ascii="Arial" w:hAnsi="Arial" w:cs="Arial"/>
          <w:sz w:val="24"/>
          <w:szCs w:val="24"/>
        </w:rPr>
        <w:t>En aquellos casos que el oferente presente una Oferta Alternativa de servicio de Venta sin</w:t>
      </w:r>
      <w:r w:rsidRPr="004E6860">
        <w:rPr>
          <w:rFonts w:ascii="Arial" w:hAnsi="Arial" w:cs="Arial"/>
          <w:spacing w:val="1"/>
          <w:sz w:val="24"/>
          <w:szCs w:val="24"/>
        </w:rPr>
        <w:t xml:space="preserve"> </w:t>
      </w:r>
      <w:r w:rsidRPr="004E6860">
        <w:rPr>
          <w:rFonts w:ascii="Arial" w:hAnsi="Arial" w:cs="Arial"/>
          <w:sz w:val="24"/>
          <w:szCs w:val="24"/>
        </w:rPr>
        <w:t>Colocación,</w:t>
      </w:r>
      <w:r w:rsidRPr="004E6860">
        <w:rPr>
          <w:rFonts w:ascii="Arial" w:hAnsi="Arial" w:cs="Arial"/>
          <w:spacing w:val="1"/>
          <w:sz w:val="24"/>
          <w:szCs w:val="24"/>
        </w:rPr>
        <w:t xml:space="preserve"> </w:t>
      </w:r>
      <w:r w:rsidRPr="004E6860">
        <w:rPr>
          <w:rFonts w:ascii="Arial" w:hAnsi="Arial" w:cs="Arial"/>
          <w:sz w:val="24"/>
          <w:szCs w:val="24"/>
        </w:rPr>
        <w:t>deberá</w:t>
      </w:r>
      <w:r w:rsidRPr="004E6860">
        <w:rPr>
          <w:rFonts w:ascii="Arial" w:hAnsi="Arial" w:cs="Arial"/>
          <w:spacing w:val="1"/>
          <w:sz w:val="24"/>
          <w:szCs w:val="24"/>
        </w:rPr>
        <w:t xml:space="preserve"> </w:t>
      </w:r>
      <w:r w:rsidRPr="004E6860">
        <w:rPr>
          <w:rFonts w:ascii="Arial" w:hAnsi="Arial" w:cs="Arial"/>
          <w:sz w:val="24"/>
          <w:szCs w:val="24"/>
        </w:rPr>
        <w:t>acreditar</w:t>
      </w:r>
      <w:r w:rsidRPr="004E6860">
        <w:rPr>
          <w:rFonts w:ascii="Arial" w:hAnsi="Arial" w:cs="Arial"/>
          <w:spacing w:val="1"/>
          <w:sz w:val="24"/>
          <w:szCs w:val="24"/>
        </w:rPr>
        <w:t xml:space="preserve"> </w:t>
      </w:r>
      <w:r w:rsidRPr="004E6860">
        <w:rPr>
          <w:rFonts w:ascii="Arial" w:hAnsi="Arial" w:cs="Arial"/>
          <w:sz w:val="24"/>
          <w:szCs w:val="24"/>
        </w:rPr>
        <w:t>una</w:t>
      </w:r>
      <w:r w:rsidRPr="004E6860">
        <w:rPr>
          <w:rFonts w:ascii="Arial" w:hAnsi="Arial" w:cs="Arial"/>
          <w:spacing w:val="1"/>
          <w:sz w:val="24"/>
          <w:szCs w:val="24"/>
        </w:rPr>
        <w:t xml:space="preserve"> </w:t>
      </w:r>
      <w:r w:rsidRPr="004E6860">
        <w:rPr>
          <w:rFonts w:ascii="Arial" w:hAnsi="Arial" w:cs="Arial"/>
          <w:sz w:val="24"/>
          <w:szCs w:val="24"/>
        </w:rPr>
        <w:t>provisión mínima de 50.000 o más luminarias en el</w:t>
      </w:r>
      <w:r w:rsidRPr="004E6860">
        <w:rPr>
          <w:rFonts w:ascii="Arial" w:hAnsi="Arial" w:cs="Arial"/>
          <w:spacing w:val="1"/>
          <w:sz w:val="24"/>
          <w:szCs w:val="24"/>
        </w:rPr>
        <w:t xml:space="preserve"> </w:t>
      </w:r>
      <w:r w:rsidRPr="004E6860">
        <w:rPr>
          <w:rFonts w:ascii="Arial" w:hAnsi="Arial" w:cs="Arial"/>
          <w:sz w:val="24"/>
          <w:szCs w:val="24"/>
        </w:rPr>
        <w:t>ámbito</w:t>
      </w:r>
      <w:r w:rsidRPr="004E6860">
        <w:rPr>
          <w:rFonts w:ascii="Arial" w:hAnsi="Arial" w:cs="Arial"/>
          <w:spacing w:val="1"/>
          <w:sz w:val="24"/>
          <w:szCs w:val="24"/>
        </w:rPr>
        <w:t xml:space="preserve"> </w:t>
      </w:r>
      <w:r w:rsidRPr="004E6860">
        <w:rPr>
          <w:rFonts w:ascii="Arial" w:hAnsi="Arial" w:cs="Arial"/>
          <w:sz w:val="24"/>
          <w:szCs w:val="24"/>
        </w:rPr>
        <w:t>Nacional,</w:t>
      </w:r>
      <w:r w:rsidRPr="004E6860">
        <w:rPr>
          <w:rFonts w:ascii="Arial" w:hAnsi="Arial" w:cs="Arial"/>
          <w:spacing w:val="1"/>
          <w:sz w:val="24"/>
          <w:szCs w:val="24"/>
        </w:rPr>
        <w:t xml:space="preserve"> </w:t>
      </w:r>
      <w:r w:rsidRPr="004E6860">
        <w:rPr>
          <w:rFonts w:ascii="Arial" w:hAnsi="Arial" w:cs="Arial"/>
          <w:sz w:val="24"/>
          <w:szCs w:val="24"/>
        </w:rPr>
        <w:t>en los</w:t>
      </w:r>
      <w:r w:rsidRPr="004E6860">
        <w:rPr>
          <w:rFonts w:ascii="Arial" w:hAnsi="Arial" w:cs="Arial"/>
          <w:spacing w:val="1"/>
          <w:sz w:val="24"/>
          <w:szCs w:val="24"/>
        </w:rPr>
        <w:t xml:space="preserve"> </w:t>
      </w:r>
      <w:r w:rsidRPr="004E6860">
        <w:rPr>
          <w:rFonts w:ascii="Arial" w:hAnsi="Arial" w:cs="Arial"/>
          <w:sz w:val="24"/>
          <w:szCs w:val="24"/>
        </w:rPr>
        <w:t>últimos</w:t>
      </w:r>
      <w:r w:rsidRPr="004E6860">
        <w:rPr>
          <w:rFonts w:ascii="Arial" w:hAnsi="Arial" w:cs="Arial"/>
          <w:spacing w:val="1"/>
          <w:sz w:val="24"/>
          <w:szCs w:val="24"/>
        </w:rPr>
        <w:t xml:space="preserve"> </w:t>
      </w:r>
      <w:r w:rsidRPr="004E6860">
        <w:rPr>
          <w:rFonts w:ascii="Arial" w:hAnsi="Arial" w:cs="Arial"/>
          <w:sz w:val="24"/>
          <w:szCs w:val="24"/>
        </w:rPr>
        <w:t>tres</w:t>
      </w:r>
      <w:r w:rsidRPr="004E6860">
        <w:rPr>
          <w:rFonts w:ascii="Arial" w:hAnsi="Arial" w:cs="Arial"/>
          <w:spacing w:val="1"/>
          <w:sz w:val="24"/>
          <w:szCs w:val="24"/>
        </w:rPr>
        <w:t xml:space="preserve"> </w:t>
      </w:r>
      <w:r w:rsidRPr="004E6860">
        <w:rPr>
          <w:rFonts w:ascii="Arial" w:hAnsi="Arial" w:cs="Arial"/>
          <w:sz w:val="24"/>
          <w:szCs w:val="24"/>
        </w:rPr>
        <w:t>años</w:t>
      </w:r>
      <w:r w:rsidRPr="004E6860">
        <w:rPr>
          <w:rFonts w:ascii="Arial" w:hAnsi="Arial" w:cs="Arial"/>
          <w:spacing w:val="1"/>
          <w:sz w:val="24"/>
          <w:szCs w:val="24"/>
        </w:rPr>
        <w:t xml:space="preserve"> </w:t>
      </w:r>
      <w:r w:rsidRPr="004E6860">
        <w:rPr>
          <w:rFonts w:ascii="Arial" w:hAnsi="Arial" w:cs="Arial"/>
          <w:sz w:val="24"/>
          <w:szCs w:val="24"/>
        </w:rPr>
        <w:t>previos</w:t>
      </w:r>
      <w:r w:rsidRPr="004E6860">
        <w:rPr>
          <w:rFonts w:ascii="Arial" w:hAnsi="Arial" w:cs="Arial"/>
          <w:spacing w:val="1"/>
          <w:sz w:val="24"/>
          <w:szCs w:val="24"/>
        </w:rPr>
        <w:t xml:space="preserve"> </w:t>
      </w:r>
      <w:r w:rsidRPr="004E6860">
        <w:rPr>
          <w:rFonts w:ascii="Arial" w:hAnsi="Arial" w:cs="Arial"/>
          <w:sz w:val="24"/>
          <w:szCs w:val="24"/>
        </w:rPr>
        <w:t>al acto</w:t>
      </w:r>
      <w:r w:rsidRPr="004E6860">
        <w:rPr>
          <w:rFonts w:ascii="Arial" w:hAnsi="Arial" w:cs="Arial"/>
          <w:spacing w:val="60"/>
          <w:sz w:val="24"/>
          <w:szCs w:val="24"/>
        </w:rPr>
        <w:t xml:space="preserve"> </w:t>
      </w:r>
      <w:r w:rsidRPr="004E6860">
        <w:rPr>
          <w:rFonts w:ascii="Arial" w:hAnsi="Arial" w:cs="Arial"/>
          <w:sz w:val="24"/>
          <w:szCs w:val="24"/>
        </w:rPr>
        <w:t>de</w:t>
      </w:r>
      <w:r w:rsidRPr="004E6860">
        <w:rPr>
          <w:rFonts w:ascii="Arial" w:hAnsi="Arial" w:cs="Arial"/>
          <w:spacing w:val="60"/>
          <w:sz w:val="24"/>
          <w:szCs w:val="24"/>
        </w:rPr>
        <w:t xml:space="preserve"> </w:t>
      </w:r>
      <w:r w:rsidRPr="004E6860">
        <w:rPr>
          <w:rFonts w:ascii="Arial" w:hAnsi="Arial" w:cs="Arial"/>
          <w:sz w:val="24"/>
          <w:szCs w:val="24"/>
        </w:rPr>
        <w:t>recepción de ofertas y no</w:t>
      </w:r>
      <w:r w:rsidRPr="004E6860">
        <w:rPr>
          <w:rFonts w:ascii="Arial" w:hAnsi="Arial" w:cs="Arial"/>
          <w:spacing w:val="1"/>
          <w:sz w:val="24"/>
          <w:szCs w:val="24"/>
        </w:rPr>
        <w:t xml:space="preserve"> </w:t>
      </w:r>
      <w:r w:rsidRPr="004E6860">
        <w:rPr>
          <w:rFonts w:ascii="Arial" w:hAnsi="Arial" w:cs="Arial"/>
          <w:sz w:val="24"/>
          <w:szCs w:val="24"/>
        </w:rPr>
        <w:t>podrá acceder (ni computársele) al puntaje determinado como Oferta Básica Completa</w:t>
      </w:r>
      <w:r w:rsidRPr="004E6860">
        <w:rPr>
          <w:rFonts w:ascii="Arial" w:hAnsi="Arial" w:cs="Arial"/>
          <w:spacing w:val="1"/>
          <w:sz w:val="24"/>
          <w:szCs w:val="24"/>
        </w:rPr>
        <w:t xml:space="preserve"> </w:t>
      </w:r>
      <w:r w:rsidRPr="004E6860">
        <w:rPr>
          <w:rFonts w:ascii="Arial" w:hAnsi="Arial" w:cs="Arial"/>
          <w:sz w:val="24"/>
          <w:szCs w:val="24"/>
        </w:rPr>
        <w:t>(ofrecimiento</w:t>
      </w:r>
      <w:r w:rsidRPr="004E6860">
        <w:rPr>
          <w:rFonts w:ascii="Arial" w:hAnsi="Arial" w:cs="Arial"/>
          <w:spacing w:val="7"/>
          <w:sz w:val="24"/>
          <w:szCs w:val="24"/>
        </w:rPr>
        <w:t xml:space="preserve"> </w:t>
      </w:r>
      <w:r w:rsidRPr="004E6860">
        <w:rPr>
          <w:rFonts w:ascii="Arial" w:hAnsi="Arial" w:cs="Arial"/>
          <w:sz w:val="24"/>
          <w:szCs w:val="24"/>
        </w:rPr>
        <w:t>del</w:t>
      </w:r>
      <w:r w:rsidRPr="004E6860">
        <w:rPr>
          <w:rFonts w:ascii="Arial" w:hAnsi="Arial" w:cs="Arial"/>
          <w:spacing w:val="4"/>
          <w:sz w:val="24"/>
          <w:szCs w:val="24"/>
        </w:rPr>
        <w:t xml:space="preserve"> </w:t>
      </w:r>
      <w:r w:rsidRPr="004E6860">
        <w:rPr>
          <w:rFonts w:ascii="Arial" w:hAnsi="Arial" w:cs="Arial"/>
          <w:sz w:val="24"/>
          <w:szCs w:val="24"/>
        </w:rPr>
        <w:t>servicio</w:t>
      </w:r>
      <w:r w:rsidRPr="004E6860">
        <w:rPr>
          <w:rFonts w:ascii="Arial" w:hAnsi="Arial" w:cs="Arial"/>
          <w:spacing w:val="53"/>
          <w:sz w:val="24"/>
          <w:szCs w:val="24"/>
        </w:rPr>
        <w:t xml:space="preserve"> </w:t>
      </w:r>
      <w:r w:rsidRPr="004E6860">
        <w:rPr>
          <w:rFonts w:ascii="Arial" w:hAnsi="Arial" w:cs="Arial"/>
          <w:sz w:val="24"/>
          <w:szCs w:val="24"/>
        </w:rPr>
        <w:t>de</w:t>
      </w:r>
      <w:r w:rsidRPr="004E6860">
        <w:rPr>
          <w:rFonts w:ascii="Arial" w:hAnsi="Arial" w:cs="Arial"/>
          <w:spacing w:val="-6"/>
          <w:sz w:val="24"/>
          <w:szCs w:val="24"/>
        </w:rPr>
        <w:t xml:space="preserve"> </w:t>
      </w:r>
      <w:r w:rsidRPr="004E6860">
        <w:rPr>
          <w:rFonts w:ascii="Arial" w:hAnsi="Arial" w:cs="Arial"/>
          <w:sz w:val="24"/>
          <w:szCs w:val="24"/>
        </w:rPr>
        <w:t>Venta</w:t>
      </w:r>
      <w:r w:rsidRPr="004E6860">
        <w:rPr>
          <w:rFonts w:ascii="Arial" w:hAnsi="Arial" w:cs="Arial"/>
          <w:spacing w:val="37"/>
          <w:sz w:val="24"/>
          <w:szCs w:val="24"/>
        </w:rPr>
        <w:t xml:space="preserve"> </w:t>
      </w:r>
      <w:r w:rsidRPr="004E6860">
        <w:rPr>
          <w:rFonts w:ascii="Arial" w:hAnsi="Arial" w:cs="Arial"/>
          <w:sz w:val="24"/>
          <w:szCs w:val="24"/>
        </w:rPr>
        <w:t>y</w:t>
      </w:r>
      <w:r w:rsidRPr="004E6860">
        <w:rPr>
          <w:rFonts w:ascii="Arial" w:hAnsi="Arial" w:cs="Arial"/>
          <w:spacing w:val="-4"/>
          <w:sz w:val="24"/>
          <w:szCs w:val="24"/>
        </w:rPr>
        <w:t xml:space="preserve"> </w:t>
      </w:r>
      <w:r w:rsidRPr="004E6860">
        <w:rPr>
          <w:rFonts w:ascii="Arial" w:hAnsi="Arial" w:cs="Arial"/>
          <w:sz w:val="24"/>
          <w:szCs w:val="24"/>
        </w:rPr>
        <w:t>Colocación).</w:t>
      </w:r>
      <w:r w:rsidRPr="004E6860">
        <w:rPr>
          <w:rFonts w:ascii="Arial" w:hAnsi="Arial" w:cs="Arial"/>
          <w:spacing w:val="57"/>
          <w:sz w:val="24"/>
          <w:szCs w:val="24"/>
        </w:rPr>
        <w:t xml:space="preserve"> </w:t>
      </w:r>
    </w:p>
    <w:p w:rsidR="004E6860" w:rsidRPr="004E6860" w:rsidRDefault="004E6860" w:rsidP="009B6431">
      <w:pPr>
        <w:pStyle w:val="Prrafodelista"/>
        <w:spacing w:line="360" w:lineRule="auto"/>
        <w:rPr>
          <w:rFonts w:ascii="Arial" w:hAnsi="Arial" w:cs="Arial"/>
          <w:b/>
          <w:sz w:val="24"/>
          <w:szCs w:val="24"/>
        </w:rPr>
      </w:pPr>
    </w:p>
    <w:p w:rsidR="004E6860" w:rsidRPr="004E6860" w:rsidRDefault="004E6860" w:rsidP="009B6431">
      <w:pPr>
        <w:widowControl/>
        <w:tabs>
          <w:tab w:val="left" w:pos="0"/>
        </w:tabs>
        <w:suppressAutoHyphens/>
        <w:autoSpaceDE/>
        <w:autoSpaceDN/>
        <w:spacing w:after="240" w:line="360" w:lineRule="auto"/>
        <w:jc w:val="both"/>
        <w:rPr>
          <w:rFonts w:ascii="Arial" w:eastAsiaTheme="minorHAnsi" w:hAnsi="Arial" w:cs="Arial"/>
          <w:b/>
          <w:iCs/>
          <w:sz w:val="24"/>
          <w:szCs w:val="24"/>
          <w:u w:val="single"/>
          <w:lang w:val="es-AR"/>
        </w:rPr>
      </w:pPr>
      <w:r>
        <w:rPr>
          <w:rFonts w:ascii="Arial" w:eastAsiaTheme="minorHAnsi" w:hAnsi="Arial" w:cs="Arial"/>
          <w:b/>
          <w:iCs/>
          <w:sz w:val="24"/>
          <w:szCs w:val="24"/>
          <w:u w:val="single"/>
          <w:lang w:val="es-AR"/>
        </w:rPr>
        <w:t>2</w:t>
      </w:r>
      <w:r w:rsidRPr="004E6860">
        <w:rPr>
          <w:rFonts w:ascii="Arial" w:eastAsiaTheme="minorHAnsi" w:hAnsi="Arial" w:cs="Arial"/>
          <w:b/>
          <w:iCs/>
          <w:sz w:val="24"/>
          <w:szCs w:val="24"/>
          <w:u w:val="single"/>
          <w:lang w:val="es-AR"/>
        </w:rPr>
        <w:t xml:space="preserve"> - ACREDITACIÓN DE OBJETIVOS DE DESARROLLO SOSTENIBLE (S/LEY 9193)</w:t>
      </w:r>
    </w:p>
    <w:p w:rsidR="004E6860" w:rsidRPr="004E6860" w:rsidRDefault="004E6860" w:rsidP="009B6431">
      <w:pPr>
        <w:widowControl/>
        <w:autoSpaceDE/>
        <w:autoSpaceDN/>
        <w:spacing w:before="2" w:line="360" w:lineRule="auto"/>
        <w:jc w:val="both"/>
        <w:rPr>
          <w:rFonts w:ascii="Arial" w:hAnsi="Arial" w:cs="Arial"/>
          <w:sz w:val="24"/>
          <w:szCs w:val="24"/>
          <w:lang w:val="es-AR" w:eastAsia="es-AR"/>
        </w:rPr>
      </w:pPr>
      <w:r w:rsidRPr="004E6860">
        <w:rPr>
          <w:rFonts w:ascii="Arial" w:hAnsi="Arial" w:cs="Arial"/>
          <w:color w:val="000000"/>
          <w:sz w:val="24"/>
          <w:szCs w:val="24"/>
          <w:lang w:val="es-AR" w:eastAsia="es-AR"/>
        </w:rPr>
        <w:t xml:space="preserve">Para el presente Acuerdo Marco, se considera relevante la evaluación del desempeño empresario de los oferentes, a la luz de las metas de los Objetivos de Desarrollo Sostenible del Pacto Global de las Naciones Unidas (ver  </w:t>
      </w:r>
      <w:hyperlink r:id="rId5" w:history="1">
        <w:r w:rsidRPr="004E6860">
          <w:rPr>
            <w:rFonts w:ascii="Arial" w:hAnsi="Arial" w:cs="Arial"/>
            <w:color w:val="0000FF"/>
            <w:sz w:val="24"/>
            <w:szCs w:val="24"/>
            <w:u w:val="single"/>
            <w:lang w:val="es-AR" w:eastAsia="es-AR"/>
          </w:rPr>
          <w:t>https://www.un.org/sustainabledevelopment/es/objetivos-de-desarrollo-sostenible/</w:t>
        </w:r>
      </w:hyperlink>
      <w:r w:rsidRPr="004E6860">
        <w:rPr>
          <w:rFonts w:ascii="Arial" w:hAnsi="Arial" w:cs="Arial"/>
          <w:color w:val="000000"/>
          <w:sz w:val="24"/>
          <w:szCs w:val="24"/>
          <w:lang w:val="es-AR" w:eastAsia="es-AR"/>
        </w:rPr>
        <w:t>).</w:t>
      </w:r>
    </w:p>
    <w:p w:rsidR="004E6860" w:rsidRPr="004E6860" w:rsidRDefault="004E6860" w:rsidP="009B6431">
      <w:pPr>
        <w:widowControl/>
        <w:autoSpaceDE/>
        <w:autoSpaceDN/>
        <w:spacing w:before="2" w:line="360" w:lineRule="auto"/>
        <w:jc w:val="both"/>
        <w:rPr>
          <w:rFonts w:ascii="Arial" w:hAnsi="Arial" w:cs="Arial"/>
          <w:color w:val="000000"/>
          <w:sz w:val="24"/>
          <w:szCs w:val="24"/>
          <w:lang w:val="es-AR" w:eastAsia="es-AR"/>
        </w:rPr>
      </w:pPr>
      <w:r w:rsidRPr="004E6860">
        <w:rPr>
          <w:rFonts w:ascii="Arial" w:hAnsi="Arial" w:cs="Arial"/>
          <w:color w:val="000000"/>
          <w:sz w:val="24"/>
          <w:szCs w:val="24"/>
          <w:lang w:val="es-AR"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6" w:history="1">
        <w:r w:rsidRPr="004E6860">
          <w:rPr>
            <w:rFonts w:ascii="Arial" w:hAnsi="Arial" w:cs="Arial"/>
            <w:color w:val="0000FF"/>
            <w:sz w:val="24"/>
            <w:szCs w:val="24"/>
            <w:u w:val="single"/>
            <w:lang w:val="es-AR" w:eastAsia="es-AR"/>
          </w:rPr>
          <w:t>https://www.mendoza.gov.ar/compras/compras-publicas-sustentables/</w:t>
        </w:r>
      </w:hyperlink>
      <w:r w:rsidRPr="004E6860">
        <w:rPr>
          <w:rFonts w:ascii="Arial" w:hAnsi="Arial" w:cs="Arial"/>
          <w:color w:val="000000"/>
          <w:sz w:val="24"/>
          <w:szCs w:val="24"/>
          <w:lang w:val="es-AR" w:eastAsia="es-AR"/>
        </w:rPr>
        <w:t xml:space="preserve">). A este efecto, se informan los siguientes ponderadores de calificación del desempeño empresario sustentable, adoptados por la Guía Elemental del Programa de Compras Sustentables de la Administración Provincial (ver: </w:t>
      </w:r>
      <w:hyperlink r:id="rId7" w:history="1">
        <w:r w:rsidRPr="004E6860">
          <w:rPr>
            <w:rFonts w:ascii="Arial" w:hAnsi="Arial" w:cs="Arial"/>
            <w:color w:val="0000FF"/>
            <w:sz w:val="24"/>
            <w:szCs w:val="24"/>
            <w:u w:val="single"/>
            <w:lang w:val="es-AR" w:eastAsia="es-AR"/>
          </w:rPr>
          <w:t>https://www.mendoza.gov.ar/compras/compras-publicas-sustentables/</w:t>
        </w:r>
      </w:hyperlink>
      <w:r w:rsidRPr="004E6860">
        <w:rPr>
          <w:rFonts w:ascii="Arial" w:hAnsi="Arial" w:cs="Arial"/>
          <w:color w:val="000000"/>
          <w:sz w:val="24"/>
          <w:szCs w:val="24"/>
          <w:lang w:val="es-AR" w:eastAsia="es-AR"/>
        </w:rPr>
        <w:t>): </w:t>
      </w:r>
    </w:p>
    <w:p w:rsidR="004E6860" w:rsidRPr="004E6860" w:rsidRDefault="004E6860" w:rsidP="009B6431">
      <w:pPr>
        <w:widowControl/>
        <w:autoSpaceDE/>
        <w:autoSpaceDN/>
        <w:spacing w:before="2" w:line="360" w:lineRule="auto"/>
        <w:jc w:val="both"/>
        <w:rPr>
          <w:rFonts w:ascii="Arial" w:hAnsi="Arial" w:cs="Arial"/>
          <w:color w:val="000000"/>
          <w:sz w:val="24"/>
          <w:szCs w:val="24"/>
          <w:lang w:val="es-AR" w:eastAsia="es-AR"/>
        </w:rPr>
      </w:pPr>
      <w:r w:rsidRPr="004E6860">
        <w:rPr>
          <w:rFonts w:ascii="Arial" w:hAnsi="Arial" w:cs="Arial"/>
          <w:b/>
          <w:color w:val="000000"/>
          <w:sz w:val="24"/>
          <w:szCs w:val="24"/>
          <w:lang w:val="es-AR" w:eastAsia="es-AR"/>
        </w:rPr>
        <w:t xml:space="preserve">1) </w:t>
      </w:r>
      <w:r w:rsidRPr="004E6860">
        <w:rPr>
          <w:rFonts w:ascii="Arial" w:hAnsi="Arial" w:cs="Arial"/>
          <w:color w:val="000000"/>
          <w:sz w:val="24"/>
          <w:szCs w:val="24"/>
          <w:lang w:val="es-AR" w:eastAsia="es-AR"/>
        </w:rPr>
        <w:t>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w:t>
      </w:r>
    </w:p>
    <w:p w:rsidR="004E6860" w:rsidRPr="004E6860" w:rsidRDefault="004E6860" w:rsidP="009B6431">
      <w:pPr>
        <w:widowControl/>
        <w:autoSpaceDE/>
        <w:autoSpaceDN/>
        <w:spacing w:before="2" w:line="360" w:lineRule="auto"/>
        <w:jc w:val="both"/>
        <w:rPr>
          <w:rFonts w:ascii="Arial" w:hAnsi="Arial" w:cs="Arial"/>
          <w:color w:val="000000"/>
          <w:sz w:val="24"/>
          <w:szCs w:val="24"/>
          <w:lang w:val="es-AR" w:eastAsia="es-AR"/>
        </w:rPr>
      </w:pPr>
      <w:r w:rsidRPr="004E6860">
        <w:rPr>
          <w:rFonts w:ascii="Arial" w:hAnsi="Arial" w:cs="Arial"/>
          <w:b/>
          <w:color w:val="000000"/>
          <w:sz w:val="24"/>
          <w:szCs w:val="24"/>
          <w:lang w:val="es-AR" w:eastAsia="es-AR"/>
        </w:rPr>
        <w:t>2)</w:t>
      </w:r>
      <w:r w:rsidRPr="004E6860">
        <w:rPr>
          <w:rFonts w:ascii="Arial" w:hAnsi="Arial" w:cs="Arial"/>
          <w:color w:val="000000"/>
          <w:sz w:val="24"/>
          <w:szCs w:val="24"/>
          <w:lang w:val="es-AR" w:eastAsia="es-AR"/>
        </w:rPr>
        <w:t xml:space="preserve"> La implementación de políticas de sostenibilidad empresaria según evidencias verificables que permitan comprobar acciones que respondan a uno o varios criterios de sostenibilidad (ODS). </w:t>
      </w:r>
      <w:r w:rsidRPr="004E6860">
        <w:rPr>
          <w:rFonts w:ascii="Arial" w:hAnsi="Arial" w:cs="Arial"/>
          <w:color w:val="000000"/>
          <w:sz w:val="24"/>
          <w:szCs w:val="24"/>
          <w:lang w:val="es-AR" w:eastAsia="es-AR"/>
        </w:rPr>
        <w:lastRenderedPageBreak/>
        <w:t>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rsidR="004E6860" w:rsidRDefault="004E6860" w:rsidP="009B6431">
      <w:pPr>
        <w:widowControl/>
        <w:autoSpaceDE/>
        <w:autoSpaceDN/>
        <w:spacing w:before="2" w:line="360" w:lineRule="auto"/>
        <w:jc w:val="both"/>
        <w:rPr>
          <w:rFonts w:ascii="Arial" w:hAnsi="Arial" w:cs="Arial"/>
          <w:color w:val="000000"/>
          <w:sz w:val="24"/>
          <w:szCs w:val="24"/>
          <w:lang w:val="es-AR" w:eastAsia="es-AR"/>
        </w:rPr>
      </w:pPr>
      <w:r w:rsidRPr="004E6860">
        <w:rPr>
          <w:rFonts w:ascii="Arial" w:hAnsi="Arial" w:cs="Arial"/>
          <w:b/>
          <w:color w:val="000000"/>
          <w:sz w:val="24"/>
          <w:szCs w:val="24"/>
          <w:lang w:val="es-AR" w:eastAsia="es-AR"/>
        </w:rPr>
        <w:t>3)</w:t>
      </w:r>
      <w:r w:rsidRPr="004E6860">
        <w:rPr>
          <w:rFonts w:ascii="Arial" w:hAnsi="Arial" w:cs="Arial"/>
          <w:color w:val="000000"/>
          <w:sz w:val="24"/>
          <w:szCs w:val="24"/>
          <w:lang w:val="es-AR" w:eastAsia="es-AR"/>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4E6860" w:rsidRDefault="004E6860" w:rsidP="009B6431">
      <w:pPr>
        <w:widowControl/>
        <w:autoSpaceDE/>
        <w:autoSpaceDN/>
        <w:spacing w:before="2" w:line="360" w:lineRule="auto"/>
        <w:jc w:val="both"/>
        <w:rPr>
          <w:rFonts w:ascii="Arial" w:hAnsi="Arial" w:cs="Arial"/>
          <w:color w:val="000000"/>
          <w:sz w:val="24"/>
          <w:szCs w:val="24"/>
          <w:lang w:val="es-AR" w:eastAsia="es-AR"/>
        </w:rPr>
      </w:pPr>
    </w:p>
    <w:p w:rsidR="004E6860" w:rsidRDefault="00AA6004" w:rsidP="009B6431">
      <w:pPr>
        <w:widowControl/>
        <w:autoSpaceDE/>
        <w:autoSpaceDN/>
        <w:spacing w:before="2" w:line="360" w:lineRule="auto"/>
        <w:jc w:val="both"/>
        <w:rPr>
          <w:rFonts w:ascii="Arial" w:hAnsi="Arial" w:cs="Arial"/>
          <w:b/>
          <w:color w:val="000000"/>
          <w:sz w:val="24"/>
          <w:szCs w:val="24"/>
          <w:u w:val="single"/>
          <w:lang w:val="es-AR" w:eastAsia="es-AR"/>
        </w:rPr>
      </w:pPr>
      <w:r>
        <w:rPr>
          <w:rFonts w:ascii="Arial" w:hAnsi="Arial" w:cs="Arial"/>
          <w:b/>
          <w:color w:val="000000"/>
          <w:sz w:val="24"/>
          <w:szCs w:val="24"/>
          <w:u w:val="single"/>
          <w:lang w:val="es-AR" w:eastAsia="es-AR"/>
        </w:rPr>
        <w:t>3 – CALIDAD</w:t>
      </w:r>
      <w:r w:rsidR="004E6860" w:rsidRPr="004E6860">
        <w:rPr>
          <w:rFonts w:ascii="Arial" w:hAnsi="Arial" w:cs="Arial"/>
          <w:b/>
          <w:color w:val="000000"/>
          <w:sz w:val="24"/>
          <w:szCs w:val="24"/>
          <w:u w:val="single"/>
          <w:lang w:val="es-AR" w:eastAsia="es-AR"/>
        </w:rPr>
        <w:t xml:space="preserve"> TÉCNICA/</w:t>
      </w:r>
      <w:r>
        <w:rPr>
          <w:rFonts w:ascii="Arial" w:hAnsi="Arial" w:cs="Arial"/>
          <w:b/>
          <w:color w:val="000000"/>
          <w:sz w:val="24"/>
          <w:szCs w:val="24"/>
          <w:u w:val="single"/>
          <w:lang w:val="es-AR" w:eastAsia="es-AR"/>
        </w:rPr>
        <w:t xml:space="preserve">INDICADORES DE </w:t>
      </w:r>
      <w:r w:rsidR="004E6860" w:rsidRPr="004E6860">
        <w:rPr>
          <w:rFonts w:ascii="Arial" w:hAnsi="Arial" w:cs="Arial"/>
          <w:b/>
          <w:color w:val="000000"/>
          <w:sz w:val="24"/>
          <w:szCs w:val="24"/>
          <w:u w:val="single"/>
          <w:lang w:val="es-AR" w:eastAsia="es-AR"/>
        </w:rPr>
        <w:t>CALIDAD</w:t>
      </w:r>
      <w:r w:rsidR="004E6860">
        <w:rPr>
          <w:rFonts w:ascii="Arial" w:hAnsi="Arial" w:cs="Arial"/>
          <w:b/>
          <w:color w:val="000000"/>
          <w:sz w:val="24"/>
          <w:szCs w:val="24"/>
          <w:u w:val="single"/>
          <w:lang w:val="es-AR" w:eastAsia="es-AR"/>
        </w:rPr>
        <w:t>:</w:t>
      </w:r>
    </w:p>
    <w:p w:rsidR="00AF0E02" w:rsidRPr="00AF0E02" w:rsidRDefault="00D374E4" w:rsidP="009B6431">
      <w:pPr>
        <w:widowControl/>
        <w:autoSpaceDE/>
        <w:autoSpaceDN/>
        <w:spacing w:before="2" w:line="360" w:lineRule="auto"/>
        <w:jc w:val="both"/>
        <w:rPr>
          <w:rFonts w:ascii="Arial" w:hAnsi="Arial" w:cs="Arial"/>
          <w:color w:val="000000"/>
          <w:sz w:val="24"/>
          <w:szCs w:val="24"/>
          <w:lang w:eastAsia="es-AR"/>
        </w:rPr>
      </w:pPr>
      <w:r>
        <w:rPr>
          <w:rFonts w:ascii="Arial" w:hAnsi="Arial" w:cs="Arial"/>
          <w:color w:val="000000"/>
          <w:sz w:val="24"/>
          <w:szCs w:val="24"/>
          <w:lang w:eastAsia="es-AR"/>
        </w:rPr>
        <w:t xml:space="preserve">Este criterio </w:t>
      </w:r>
      <w:r w:rsidR="00AF0E02" w:rsidRPr="00AF0E02">
        <w:rPr>
          <w:rFonts w:ascii="Arial" w:hAnsi="Arial" w:cs="Arial"/>
          <w:color w:val="000000"/>
          <w:sz w:val="24"/>
          <w:szCs w:val="24"/>
          <w:lang w:eastAsia="es-AR"/>
        </w:rPr>
        <w:t>tendrá</w:t>
      </w:r>
      <w:r>
        <w:rPr>
          <w:rFonts w:ascii="Arial" w:hAnsi="Arial" w:cs="Arial"/>
          <w:color w:val="000000"/>
          <w:sz w:val="24"/>
          <w:szCs w:val="24"/>
          <w:lang w:eastAsia="es-AR"/>
        </w:rPr>
        <w:t xml:space="preserve"> un puntaje máximo de 50 puntos y</w:t>
      </w:r>
      <w:r w:rsidR="00AF0E02" w:rsidRPr="00AF0E02">
        <w:rPr>
          <w:rFonts w:ascii="Arial" w:hAnsi="Arial" w:cs="Arial"/>
          <w:color w:val="000000"/>
          <w:sz w:val="24"/>
          <w:szCs w:val="24"/>
          <w:lang w:eastAsia="es-AR"/>
        </w:rPr>
        <w:t xml:space="preserve"> se evaluará en función de los siguientes indicadores, pautas y puntajes:</w:t>
      </w:r>
    </w:p>
    <w:p w:rsidR="00AF0E02" w:rsidRPr="00AF0E02"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eastAsia="es-AR"/>
        </w:rPr>
      </w:pPr>
      <w:r w:rsidRPr="00AF0E02">
        <w:rPr>
          <w:rFonts w:ascii="Arial" w:hAnsi="Arial" w:cs="Arial"/>
          <w:color w:val="000000"/>
          <w:sz w:val="24"/>
          <w:szCs w:val="24"/>
          <w:lang w:eastAsia="es-AR"/>
        </w:rPr>
        <w:t>LED: Superando la eficiencia mínima requerida, se calificará con 4 puntos al tipo de diodo que logre mayor porcentaje de mantenimiento de flujo lumínico en condiciones de prueba de más de 6.000 hs, temperatura de operación &gt; 80°C y supere la extrapolación de 50.000hs para L70, L80 y L90 de vida útil. La oferta que no supere los mínimos, será calificada con 0 o rechazada por insuficiencia</w:t>
      </w:r>
    </w:p>
    <w:p w:rsidR="00AF0E02" w:rsidRPr="00AF0E02"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val="es-AR" w:eastAsia="es-AR"/>
        </w:rPr>
      </w:pPr>
      <w:r w:rsidRPr="00AF0E02">
        <w:rPr>
          <w:rFonts w:ascii="Arial" w:hAnsi="Arial" w:cs="Arial"/>
          <w:color w:val="000000"/>
          <w:sz w:val="24"/>
          <w:szCs w:val="24"/>
          <w:lang w:val="es-AR" w:eastAsia="es-AR"/>
        </w:rPr>
        <w:t>DRIVERS: La eficiencia REAL (aprovechamiento real de la energía eléctrica transformada de C.A a C.C) igual o superior a valores de 90%. Se calificará con 3 puntos; de lo contrario 0 (cero)</w:t>
      </w:r>
    </w:p>
    <w:p w:rsidR="00AF0E02" w:rsidRPr="00AF0E02"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val="es-AR" w:eastAsia="es-AR"/>
        </w:rPr>
      </w:pPr>
      <w:r w:rsidRPr="00AF0E02">
        <w:rPr>
          <w:rFonts w:ascii="Arial" w:hAnsi="Arial" w:cs="Arial"/>
          <w:color w:val="000000"/>
          <w:sz w:val="24"/>
          <w:szCs w:val="24"/>
          <w:lang w:val="es-AR" w:eastAsia="es-AR"/>
        </w:rPr>
        <w:t>El factor de potencia mayor a 0,95 (</w:t>
      </w:r>
      <w:proofErr w:type="spellStart"/>
      <w:r w:rsidRPr="00AF0E02">
        <w:rPr>
          <w:rFonts w:ascii="Arial" w:hAnsi="Arial" w:cs="Arial"/>
          <w:color w:val="000000"/>
          <w:sz w:val="24"/>
          <w:szCs w:val="24"/>
          <w:lang w:val="es-AR" w:eastAsia="es-AR"/>
        </w:rPr>
        <w:t>Cos</w:t>
      </w:r>
      <w:proofErr w:type="spellEnd"/>
      <w:r w:rsidRPr="00AF0E02">
        <w:rPr>
          <w:rFonts w:ascii="Arial" w:hAnsi="Arial" w:cs="Arial"/>
          <w:color w:val="000000"/>
          <w:sz w:val="24"/>
          <w:szCs w:val="24"/>
          <w:lang w:val="es-AR" w:eastAsia="es-AR"/>
        </w:rPr>
        <w:t xml:space="preserve"> ᵩ) se calificará con 3 puntos; de lo contrario 0 (cero)</w:t>
      </w:r>
    </w:p>
    <w:p w:rsidR="00AF0E02" w:rsidRPr="00AF0E02"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val="es-AR" w:eastAsia="es-AR"/>
        </w:rPr>
      </w:pPr>
      <w:r w:rsidRPr="00AF0E02">
        <w:rPr>
          <w:rFonts w:ascii="Arial" w:hAnsi="Arial" w:cs="Arial"/>
          <w:color w:val="000000"/>
          <w:sz w:val="24"/>
          <w:szCs w:val="24"/>
          <w:lang w:val="es-AR" w:eastAsia="es-AR"/>
        </w:rPr>
        <w:t>Rangos de temperatura de trabajo: Si el rango de trabajo es entre -50º C y 50º C, se calificará con 2 puntos; si el rango es inferior en ambos extremos, 0 (cero).</w:t>
      </w:r>
    </w:p>
    <w:p w:rsidR="00AF0E02" w:rsidRPr="00AF0E02"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val="es-AR" w:eastAsia="es-AR"/>
        </w:rPr>
      </w:pPr>
      <w:r w:rsidRPr="00AF0E02">
        <w:rPr>
          <w:rFonts w:ascii="Arial" w:hAnsi="Arial" w:cs="Arial"/>
          <w:color w:val="000000"/>
          <w:sz w:val="24"/>
          <w:szCs w:val="24"/>
          <w:lang w:val="es-AR" w:eastAsia="es-AR"/>
        </w:rPr>
        <w:t>DISIPACIÓN TÉRMICA: Si el rango de temperatura de operación es entre -40ºC y 55º C, se calificará con 3 puntos; de lo contrario 0 (cero).</w:t>
      </w:r>
    </w:p>
    <w:p w:rsidR="00AF0E02" w:rsidRPr="00A86841" w:rsidRDefault="00AF0E02" w:rsidP="009B6431">
      <w:pPr>
        <w:pStyle w:val="Prrafodelista"/>
        <w:widowControl/>
        <w:numPr>
          <w:ilvl w:val="0"/>
          <w:numId w:val="4"/>
        </w:numPr>
        <w:autoSpaceDE/>
        <w:autoSpaceDN/>
        <w:spacing w:before="2" w:line="360" w:lineRule="auto"/>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AHORRO ENERGÉTICO:</w:t>
      </w:r>
      <w:r w:rsidR="00A86841">
        <w:rPr>
          <w:rFonts w:ascii="Arial" w:hAnsi="Arial" w:cs="Arial"/>
          <w:color w:val="000000"/>
          <w:sz w:val="24"/>
          <w:szCs w:val="24"/>
          <w:lang w:val="es-AR" w:eastAsia="es-AR"/>
        </w:rPr>
        <w:t xml:space="preserve"> </w:t>
      </w:r>
      <w:r w:rsidRPr="00A86841">
        <w:rPr>
          <w:rFonts w:ascii="Arial" w:hAnsi="Arial" w:cs="Arial"/>
          <w:color w:val="000000"/>
          <w:sz w:val="24"/>
          <w:szCs w:val="24"/>
          <w:lang w:val="es-AR" w:eastAsia="es-AR"/>
        </w:rPr>
        <w:t>Puntaje Máximo: 10 Puntos.</w:t>
      </w:r>
    </w:p>
    <w:p w:rsidR="00AF0E02" w:rsidRPr="00AF0E02" w:rsidRDefault="00AF0E02" w:rsidP="009B6431">
      <w:pPr>
        <w:widowControl/>
        <w:autoSpaceDE/>
        <w:autoSpaceDN/>
        <w:spacing w:before="2" w:line="360" w:lineRule="auto"/>
        <w:ind w:firstLine="708"/>
        <w:jc w:val="both"/>
        <w:rPr>
          <w:rFonts w:ascii="Arial" w:hAnsi="Arial" w:cs="Arial"/>
          <w:color w:val="000000"/>
          <w:sz w:val="24"/>
          <w:szCs w:val="24"/>
          <w:lang w:val="es-AR" w:eastAsia="es-AR"/>
        </w:rPr>
      </w:pPr>
      <w:r w:rsidRPr="00AF0E02">
        <w:rPr>
          <w:rFonts w:ascii="Arial" w:hAnsi="Arial" w:cs="Arial"/>
          <w:color w:val="000000"/>
          <w:sz w:val="24"/>
          <w:szCs w:val="24"/>
          <w:lang w:val="es-AR" w:eastAsia="es-AR"/>
        </w:rPr>
        <w:t>Teniendo en cuenta la siguiente relación de referencia:</w:t>
      </w:r>
    </w:p>
    <w:p w:rsidR="00A86841" w:rsidRP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 xml:space="preserve">Luminarias Ítems 1 a 6 reemplazarían sodio o mercurio de 150W </w:t>
      </w:r>
    </w:p>
    <w:p w:rsidR="00A86841" w:rsidRP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 xml:space="preserve">Luminarias Ítems 7 a 14 reemplazarían vapor de sodio o mercurio de 250W </w:t>
      </w:r>
    </w:p>
    <w:p w:rsidR="00A86841" w:rsidRP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 xml:space="preserve">Luminarias ítem 15 a 19 reemplazarían vapor de sodio de 400 W </w:t>
      </w:r>
    </w:p>
    <w:p w:rsidR="00AF0E02" w:rsidRP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Luminarias ítem 20 reemplazarían vapor de sodio o mercurio de 150 w</w:t>
      </w:r>
    </w:p>
    <w:p w:rsid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Luminaria ítem 21 reemplazaría vapor de sodio de diferentes potencias (ver Cuadro I-</w:t>
      </w:r>
      <w:proofErr w:type="spellStart"/>
      <w:r w:rsidRPr="00A86841">
        <w:rPr>
          <w:rFonts w:ascii="Arial" w:hAnsi="Arial" w:cs="Arial"/>
          <w:color w:val="000000"/>
          <w:sz w:val="24"/>
          <w:szCs w:val="24"/>
          <w:lang w:val="es-AR" w:eastAsia="es-AR"/>
        </w:rPr>
        <w:t>Artìculo</w:t>
      </w:r>
      <w:proofErr w:type="spellEnd"/>
      <w:r w:rsidRPr="00A86841">
        <w:rPr>
          <w:rFonts w:ascii="Arial" w:hAnsi="Arial" w:cs="Arial"/>
          <w:color w:val="000000"/>
          <w:sz w:val="24"/>
          <w:szCs w:val="24"/>
          <w:lang w:val="es-AR" w:eastAsia="es-AR"/>
        </w:rPr>
        <w:t xml:space="preserve"> 2º). </w:t>
      </w:r>
    </w:p>
    <w:p w:rsidR="00AF0E02" w:rsidRPr="00A86841" w:rsidRDefault="00AF0E02" w:rsidP="009B6431">
      <w:pPr>
        <w:pStyle w:val="Prrafodelista"/>
        <w:widowControl/>
        <w:numPr>
          <w:ilvl w:val="0"/>
          <w:numId w:val="5"/>
        </w:numPr>
        <w:autoSpaceDE/>
        <w:autoSpaceDN/>
        <w:spacing w:before="2" w:line="360" w:lineRule="auto"/>
        <w:ind w:left="1134" w:hanging="283"/>
        <w:jc w:val="both"/>
        <w:rPr>
          <w:rFonts w:ascii="Arial" w:hAnsi="Arial" w:cs="Arial"/>
          <w:color w:val="000000"/>
          <w:sz w:val="24"/>
          <w:szCs w:val="24"/>
          <w:lang w:val="es-AR" w:eastAsia="es-AR"/>
        </w:rPr>
      </w:pPr>
      <w:r w:rsidRPr="00A86841">
        <w:rPr>
          <w:rFonts w:ascii="Arial" w:hAnsi="Arial" w:cs="Arial"/>
          <w:color w:val="000000"/>
          <w:sz w:val="24"/>
          <w:szCs w:val="24"/>
          <w:lang w:val="es-AR" w:eastAsia="es-AR"/>
        </w:rPr>
        <w:t>Luminarias ítems restantes, reemplazarían vapor de sodio o mercurio de 150 W, 250 W y 400W</w:t>
      </w:r>
    </w:p>
    <w:p w:rsidR="00AF0E02" w:rsidRPr="00AF0E02" w:rsidRDefault="00AF0E02" w:rsidP="009B6431">
      <w:pPr>
        <w:widowControl/>
        <w:autoSpaceDE/>
        <w:autoSpaceDN/>
        <w:spacing w:before="2" w:line="360" w:lineRule="auto"/>
        <w:ind w:left="708"/>
        <w:jc w:val="both"/>
        <w:rPr>
          <w:rFonts w:ascii="Arial" w:hAnsi="Arial" w:cs="Arial"/>
          <w:color w:val="000000"/>
          <w:sz w:val="24"/>
          <w:szCs w:val="24"/>
          <w:lang w:eastAsia="es-AR"/>
        </w:rPr>
      </w:pPr>
      <w:r w:rsidRPr="00AF0E02">
        <w:rPr>
          <w:rFonts w:ascii="Arial" w:hAnsi="Arial" w:cs="Arial"/>
          <w:color w:val="000000"/>
          <w:sz w:val="24"/>
          <w:szCs w:val="24"/>
          <w:lang w:eastAsia="es-AR"/>
        </w:rPr>
        <w:lastRenderedPageBreak/>
        <w:t>Cuando el nivel lumínico exigido en cada Ítem, sea alcanzado con la luminaria ofrecida, se tomarán los datos de flujo luminoso obtenidos en los ensayos de Laboratorios oficiales y los datos de potencia activa medido en el IRESE (UTN – FRM), valorizando de esta forma la eficiencia luminosa del artefacto propuesto de las potencias de lámparas indicadas arriba y se realizará la puntuación correspondiente.</w:t>
      </w:r>
    </w:p>
    <w:p w:rsidR="00AF0E02" w:rsidRPr="006A49B6" w:rsidRDefault="00AF0E02" w:rsidP="009B6431">
      <w:pPr>
        <w:pStyle w:val="Prrafodelista"/>
        <w:widowControl/>
        <w:numPr>
          <w:ilvl w:val="0"/>
          <w:numId w:val="6"/>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Cuando el ahorro energético propuesto sea entre el 40% y el 49% en relación a</w:t>
      </w:r>
      <w:r w:rsidR="006A49B6" w:rsidRPr="006A49B6">
        <w:rPr>
          <w:rFonts w:ascii="Arial" w:hAnsi="Arial" w:cs="Arial"/>
          <w:color w:val="000000"/>
          <w:sz w:val="24"/>
          <w:szCs w:val="24"/>
          <w:lang w:val="es-AR" w:eastAsia="es-AR"/>
        </w:rPr>
        <w:t xml:space="preserve"> </w:t>
      </w:r>
      <w:r w:rsidRPr="006A49B6">
        <w:rPr>
          <w:rFonts w:ascii="Arial" w:hAnsi="Arial" w:cs="Arial"/>
          <w:color w:val="000000"/>
          <w:sz w:val="24"/>
          <w:szCs w:val="24"/>
          <w:lang w:val="es-AR" w:eastAsia="es-AR"/>
        </w:rPr>
        <w:t>la luminaria que se reemplace, se otorgará un puntaje de 5 Puntos.</w:t>
      </w:r>
    </w:p>
    <w:p w:rsidR="00AF0E02" w:rsidRPr="006A49B6" w:rsidRDefault="00AF0E02" w:rsidP="009B6431">
      <w:pPr>
        <w:pStyle w:val="Prrafodelista"/>
        <w:widowControl/>
        <w:numPr>
          <w:ilvl w:val="0"/>
          <w:numId w:val="6"/>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Cuando el ahorro energético sea superior al 50% y hasta el 55%, se otorgará un puntaje de 7 Puntos.</w:t>
      </w:r>
    </w:p>
    <w:p w:rsidR="00AF0E02" w:rsidRPr="006A49B6" w:rsidRDefault="00AF0E02" w:rsidP="009B6431">
      <w:pPr>
        <w:pStyle w:val="Prrafodelista"/>
        <w:widowControl/>
        <w:numPr>
          <w:ilvl w:val="0"/>
          <w:numId w:val="6"/>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Cuando el ahorro energético sea superior al 55%, se otorgará un puntaje de 10 Puntos.</w:t>
      </w:r>
    </w:p>
    <w:p w:rsidR="00AF0E02" w:rsidRPr="006A49B6" w:rsidRDefault="00AF0E02" w:rsidP="009B6431">
      <w:pPr>
        <w:pStyle w:val="Prrafodelista"/>
        <w:widowControl/>
        <w:numPr>
          <w:ilvl w:val="0"/>
          <w:numId w:val="4"/>
        </w:numPr>
        <w:autoSpaceDE/>
        <w:autoSpaceDN/>
        <w:spacing w:before="2" w:line="360" w:lineRule="auto"/>
        <w:jc w:val="both"/>
        <w:rPr>
          <w:rFonts w:ascii="Arial" w:hAnsi="Arial" w:cs="Arial"/>
          <w:b/>
          <w:color w:val="000000"/>
          <w:sz w:val="24"/>
          <w:szCs w:val="24"/>
          <w:u w:val="single"/>
          <w:lang w:val="es-AR" w:eastAsia="es-AR"/>
        </w:rPr>
      </w:pPr>
      <w:r w:rsidRPr="006A49B6">
        <w:rPr>
          <w:rFonts w:ascii="Arial" w:hAnsi="Arial" w:cs="Arial"/>
          <w:color w:val="000000"/>
          <w:sz w:val="24"/>
          <w:szCs w:val="24"/>
          <w:lang w:val="es-AR" w:eastAsia="es-AR"/>
        </w:rPr>
        <w:t>RENDIMIENTO LUMINICO</w:t>
      </w:r>
      <w:r w:rsidR="006A49B6" w:rsidRPr="006A49B6">
        <w:rPr>
          <w:rFonts w:ascii="Arial" w:hAnsi="Arial" w:cs="Arial"/>
          <w:color w:val="000000"/>
          <w:sz w:val="24"/>
          <w:szCs w:val="24"/>
          <w:lang w:val="es-AR" w:eastAsia="es-AR"/>
        </w:rPr>
        <w:t>:</w:t>
      </w:r>
      <w:r w:rsidR="006A49B6">
        <w:rPr>
          <w:rFonts w:ascii="Arial" w:hAnsi="Arial" w:cs="Arial"/>
          <w:color w:val="000000"/>
          <w:sz w:val="24"/>
          <w:szCs w:val="24"/>
          <w:lang w:val="es-AR" w:eastAsia="es-AR"/>
        </w:rPr>
        <w:t xml:space="preserve"> </w:t>
      </w:r>
      <w:r w:rsidRPr="006A49B6">
        <w:rPr>
          <w:rFonts w:ascii="Arial" w:hAnsi="Arial" w:cs="Arial"/>
          <w:color w:val="000000"/>
          <w:sz w:val="24"/>
          <w:szCs w:val="24"/>
          <w:lang w:val="es-AR" w:eastAsia="es-AR"/>
        </w:rPr>
        <w:t>Puntaje Máximo: 10 Puntos</w:t>
      </w:r>
    </w:p>
    <w:p w:rsidR="00AF0E02" w:rsidRPr="006A49B6" w:rsidRDefault="00AF0E02"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Si por cada Watt dema</w:t>
      </w:r>
      <w:r w:rsidR="006A49B6" w:rsidRPr="006A49B6">
        <w:rPr>
          <w:rFonts w:ascii="Arial" w:hAnsi="Arial" w:cs="Arial"/>
          <w:color w:val="000000"/>
          <w:sz w:val="24"/>
          <w:szCs w:val="24"/>
          <w:lang w:val="es-AR" w:eastAsia="es-AR"/>
        </w:rPr>
        <w:t xml:space="preserve">ndado se emiten entre 105 y 110 </w:t>
      </w:r>
      <w:r w:rsidRPr="006A49B6">
        <w:rPr>
          <w:rFonts w:ascii="Arial" w:hAnsi="Arial" w:cs="Arial"/>
          <w:color w:val="000000"/>
          <w:sz w:val="24"/>
          <w:szCs w:val="24"/>
          <w:lang w:val="es-AR" w:eastAsia="es-AR"/>
        </w:rPr>
        <w:t>Lúmenes, se asignan 1 puntos</w:t>
      </w:r>
      <w:r w:rsidR="006A49B6" w:rsidRPr="006A49B6">
        <w:rPr>
          <w:rFonts w:ascii="Arial" w:hAnsi="Arial" w:cs="Arial"/>
          <w:color w:val="000000"/>
          <w:sz w:val="24"/>
          <w:szCs w:val="24"/>
          <w:lang w:val="es-AR" w:eastAsia="es-AR"/>
        </w:rPr>
        <w:t>.</w:t>
      </w:r>
    </w:p>
    <w:p w:rsidR="00AF0E02" w:rsidRPr="006A49B6" w:rsidRDefault="00AF0E02"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Si por cada Watt demandado se emiten entre más de 110 y hasta 130 lúmenes,</w:t>
      </w:r>
      <w:r w:rsidR="006A49B6" w:rsidRPr="006A49B6">
        <w:rPr>
          <w:rFonts w:ascii="Arial" w:hAnsi="Arial" w:cs="Arial"/>
          <w:color w:val="000000"/>
          <w:sz w:val="24"/>
          <w:szCs w:val="24"/>
          <w:lang w:val="es-AR" w:eastAsia="es-AR"/>
        </w:rPr>
        <w:t xml:space="preserve"> </w:t>
      </w:r>
      <w:r w:rsidRPr="006A49B6">
        <w:rPr>
          <w:rFonts w:ascii="Arial" w:hAnsi="Arial" w:cs="Arial"/>
          <w:color w:val="000000"/>
          <w:sz w:val="24"/>
          <w:szCs w:val="24"/>
          <w:lang w:val="es-AR" w:eastAsia="es-AR"/>
        </w:rPr>
        <w:t>se asignan 3 puntos</w:t>
      </w:r>
      <w:r w:rsidR="006A49B6" w:rsidRPr="006A49B6">
        <w:rPr>
          <w:rFonts w:ascii="Arial" w:hAnsi="Arial" w:cs="Arial"/>
          <w:color w:val="000000"/>
          <w:sz w:val="24"/>
          <w:szCs w:val="24"/>
          <w:lang w:val="es-AR" w:eastAsia="es-AR"/>
        </w:rPr>
        <w:t>.</w:t>
      </w:r>
    </w:p>
    <w:p w:rsidR="00AF0E02" w:rsidRDefault="00AF0E02"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6A49B6">
        <w:rPr>
          <w:rFonts w:ascii="Arial" w:hAnsi="Arial" w:cs="Arial"/>
          <w:color w:val="000000"/>
          <w:sz w:val="24"/>
          <w:szCs w:val="24"/>
          <w:lang w:val="es-AR" w:eastAsia="es-AR"/>
        </w:rPr>
        <w:t>Si por cada Watt demandado se emiten más de 130 lúmenes, se asignarán 10 Puntos.</w:t>
      </w:r>
    </w:p>
    <w:p w:rsidR="00FE2740" w:rsidRPr="00FE2740" w:rsidRDefault="00FE2740" w:rsidP="009B6431">
      <w:pPr>
        <w:pStyle w:val="Prrafodelista"/>
        <w:widowControl/>
        <w:numPr>
          <w:ilvl w:val="0"/>
          <w:numId w:val="4"/>
        </w:numPr>
        <w:autoSpaceDE/>
        <w:autoSpaceDN/>
        <w:spacing w:before="2" w:line="360" w:lineRule="auto"/>
        <w:ind w:left="709" w:hanging="425"/>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VIDA ÚTIL:</w:t>
      </w:r>
      <w:r>
        <w:rPr>
          <w:rFonts w:ascii="Arial" w:hAnsi="Arial" w:cs="Arial"/>
          <w:color w:val="000000"/>
          <w:sz w:val="24"/>
          <w:szCs w:val="24"/>
          <w:lang w:val="es-AR" w:eastAsia="es-AR"/>
        </w:rPr>
        <w:t xml:space="preserve"> </w:t>
      </w:r>
      <w:r w:rsidRPr="00FE2740">
        <w:rPr>
          <w:rFonts w:ascii="Arial" w:hAnsi="Arial" w:cs="Arial"/>
          <w:color w:val="000000"/>
          <w:sz w:val="24"/>
          <w:szCs w:val="24"/>
          <w:lang w:val="es-AR" w:eastAsia="es-AR"/>
        </w:rPr>
        <w:t>Puntaje Máximo: 5 puntos</w:t>
      </w:r>
    </w:p>
    <w:p w:rsidR="00FE2740" w:rsidRPr="00FE2740" w:rsidRDefault="00FE2740" w:rsidP="009B6431">
      <w:pPr>
        <w:widowControl/>
        <w:autoSpaceDE/>
        <w:autoSpaceDN/>
        <w:spacing w:before="2" w:line="360" w:lineRule="auto"/>
        <w:ind w:left="708"/>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Del conjunto de la luminaria: se deberá adjuntar los datos de ensayo de laboratorio de los diodos, módulos y driver.</w:t>
      </w:r>
    </w:p>
    <w:p w:rsidR="00FE2740" w:rsidRPr="00FE2740" w:rsidRDefault="00FE2740" w:rsidP="009B6431">
      <w:pPr>
        <w:widowControl/>
        <w:autoSpaceDE/>
        <w:autoSpaceDN/>
        <w:spacing w:before="2" w:line="360" w:lineRule="auto"/>
        <w:ind w:left="360" w:firstLine="348"/>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A los fines de la asignación de puntaje, se tendrá en cuenta la siguiente escala:</w:t>
      </w:r>
    </w:p>
    <w:p w:rsidR="00FE2740" w:rsidRPr="00FE2740" w:rsidRDefault="00FE2740"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Vida útil menos de 50.000 horas ≥l 70% del flujo  lumínico: se otorgarán 0 puntos.</w:t>
      </w:r>
    </w:p>
    <w:p w:rsidR="00FE2740" w:rsidRPr="00FE2740" w:rsidRDefault="00FE2740"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Vida útil de 50.000 a 60.000 horas ≥l 70% del flujo lumínico: se otorgarán 2 puntos.</w:t>
      </w:r>
    </w:p>
    <w:p w:rsidR="00FE2740" w:rsidRPr="00FE2740" w:rsidRDefault="00FE2740" w:rsidP="009B6431">
      <w:pPr>
        <w:pStyle w:val="Prrafodelista"/>
        <w:widowControl/>
        <w:numPr>
          <w:ilvl w:val="0"/>
          <w:numId w:val="7"/>
        </w:numPr>
        <w:autoSpaceDE/>
        <w:autoSpaceDN/>
        <w:spacing w:before="2" w:line="360" w:lineRule="auto"/>
        <w:ind w:left="1134" w:hanging="283"/>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Vida útil más de 60.000 horas ≥ 70% del flujo lumínico: se otorgarán 5 puntos.</w:t>
      </w:r>
    </w:p>
    <w:p w:rsidR="00FE2740" w:rsidRPr="00FE2740" w:rsidRDefault="00FE2740" w:rsidP="009B6431">
      <w:pPr>
        <w:pStyle w:val="Prrafodelista"/>
        <w:widowControl/>
        <w:numPr>
          <w:ilvl w:val="0"/>
          <w:numId w:val="4"/>
        </w:numPr>
        <w:autoSpaceDE/>
        <w:autoSpaceDN/>
        <w:spacing w:before="2" w:line="360" w:lineRule="auto"/>
        <w:ind w:left="567" w:hanging="283"/>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DISEÑO / CONSTRUCCIÓN:</w:t>
      </w:r>
      <w:r>
        <w:rPr>
          <w:rFonts w:ascii="Arial" w:hAnsi="Arial" w:cs="Arial"/>
          <w:color w:val="000000"/>
          <w:sz w:val="24"/>
          <w:szCs w:val="24"/>
          <w:lang w:val="es-AR" w:eastAsia="es-AR"/>
        </w:rPr>
        <w:t xml:space="preserve"> </w:t>
      </w:r>
      <w:r w:rsidR="00282564">
        <w:rPr>
          <w:rFonts w:ascii="Arial" w:hAnsi="Arial" w:cs="Arial"/>
          <w:color w:val="000000"/>
          <w:sz w:val="24"/>
          <w:szCs w:val="24"/>
          <w:lang w:val="es-AR" w:eastAsia="es-AR"/>
        </w:rPr>
        <w:t>Puntaje Máximo</w:t>
      </w:r>
      <w:r w:rsidRPr="00FE2740">
        <w:rPr>
          <w:rFonts w:ascii="Arial" w:hAnsi="Arial" w:cs="Arial"/>
          <w:color w:val="000000"/>
          <w:sz w:val="24"/>
          <w:szCs w:val="24"/>
          <w:lang w:val="es-AR" w:eastAsia="es-AR"/>
        </w:rPr>
        <w:t>: 5 Puntos.</w:t>
      </w:r>
    </w:p>
    <w:p w:rsidR="00FE2740" w:rsidRPr="00FE2740" w:rsidRDefault="00FE2740" w:rsidP="009B6431">
      <w:pPr>
        <w:widowControl/>
        <w:autoSpaceDE/>
        <w:autoSpaceDN/>
        <w:spacing w:before="2" w:line="360" w:lineRule="auto"/>
        <w:ind w:left="567"/>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Se asignará el máximo puntaje a las luminarias que cuenten con los mejores indicadores de diseño y construcción, conforme los valores previstos en PLIEGO TECNICO. Las propuestas que posean indicadores menores serán puntuadas con sujeción a la regla de la proporcionalidad.</w:t>
      </w:r>
    </w:p>
    <w:p w:rsidR="00FE2740" w:rsidRPr="00FE2740" w:rsidRDefault="00FE2740" w:rsidP="009B6431">
      <w:pPr>
        <w:pStyle w:val="Prrafodelista"/>
        <w:widowControl/>
        <w:numPr>
          <w:ilvl w:val="0"/>
          <w:numId w:val="4"/>
        </w:numPr>
        <w:autoSpaceDE/>
        <w:autoSpaceDN/>
        <w:spacing w:before="2" w:line="360" w:lineRule="auto"/>
        <w:ind w:left="567" w:hanging="283"/>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PROPUESTA INTEGRAL:</w:t>
      </w:r>
      <w:r>
        <w:rPr>
          <w:rFonts w:ascii="Arial" w:hAnsi="Arial" w:cs="Arial"/>
          <w:color w:val="000000"/>
          <w:sz w:val="24"/>
          <w:szCs w:val="24"/>
          <w:lang w:val="es-AR" w:eastAsia="es-AR"/>
        </w:rPr>
        <w:t xml:space="preserve"> P</w:t>
      </w:r>
      <w:r w:rsidRPr="00FE2740">
        <w:rPr>
          <w:rFonts w:ascii="Arial" w:hAnsi="Arial" w:cs="Arial"/>
          <w:color w:val="000000"/>
          <w:sz w:val="24"/>
          <w:szCs w:val="24"/>
          <w:lang w:val="es-AR" w:eastAsia="es-AR"/>
        </w:rPr>
        <w:t xml:space="preserve">untaje </w:t>
      </w:r>
      <w:r w:rsidR="00282564">
        <w:rPr>
          <w:rFonts w:ascii="Arial" w:hAnsi="Arial" w:cs="Arial"/>
          <w:color w:val="000000"/>
          <w:sz w:val="24"/>
          <w:szCs w:val="24"/>
          <w:lang w:val="es-AR" w:eastAsia="es-AR"/>
        </w:rPr>
        <w:t>M</w:t>
      </w:r>
      <w:r w:rsidRPr="00FE2740">
        <w:rPr>
          <w:rFonts w:ascii="Arial" w:hAnsi="Arial" w:cs="Arial"/>
          <w:color w:val="000000"/>
          <w:sz w:val="24"/>
          <w:szCs w:val="24"/>
          <w:lang w:val="es-AR" w:eastAsia="es-AR"/>
        </w:rPr>
        <w:t>áximo</w:t>
      </w:r>
      <w:r w:rsidR="00282564">
        <w:rPr>
          <w:rFonts w:ascii="Arial" w:hAnsi="Arial" w:cs="Arial"/>
          <w:color w:val="000000"/>
          <w:sz w:val="24"/>
          <w:szCs w:val="24"/>
          <w:lang w:val="es-AR" w:eastAsia="es-AR"/>
        </w:rPr>
        <w:t>:</w:t>
      </w:r>
      <w:r w:rsidRPr="00FE2740">
        <w:rPr>
          <w:rFonts w:ascii="Arial" w:hAnsi="Arial" w:cs="Arial"/>
          <w:color w:val="000000"/>
          <w:sz w:val="24"/>
          <w:szCs w:val="24"/>
          <w:lang w:val="es-AR" w:eastAsia="es-AR"/>
        </w:rPr>
        <w:t xml:space="preserve"> 5 puntos</w:t>
      </w:r>
    </w:p>
    <w:p w:rsidR="00FE2740" w:rsidRPr="00FE2740" w:rsidRDefault="00FE2740" w:rsidP="009B6431">
      <w:pPr>
        <w:widowControl/>
        <w:autoSpaceDE/>
        <w:autoSpaceDN/>
        <w:spacing w:before="2" w:line="360" w:lineRule="auto"/>
        <w:ind w:left="567"/>
        <w:jc w:val="both"/>
        <w:rPr>
          <w:rFonts w:ascii="Arial" w:hAnsi="Arial" w:cs="Arial"/>
          <w:color w:val="000000"/>
          <w:sz w:val="24"/>
          <w:szCs w:val="24"/>
          <w:lang w:val="es-AR" w:eastAsia="es-AR"/>
        </w:rPr>
      </w:pPr>
      <w:r w:rsidRPr="00FE2740">
        <w:rPr>
          <w:rFonts w:ascii="Arial" w:hAnsi="Arial" w:cs="Arial"/>
          <w:color w:val="000000"/>
          <w:sz w:val="24"/>
          <w:szCs w:val="24"/>
          <w:lang w:val="es-AR" w:eastAsia="es-AR"/>
        </w:rPr>
        <w:t>Se asignará el máximo puntaje a las propuestas que coticen todos los ítems que son parte del presente proceso de contratación y en forma proporcional y descendente a los oferentes que solo coticen el servicio de Venta si Colocación y a las demás ofertas teniendo en cuenta los ítems cotizados. En el caso de que ningún oferente cotizara todos los ítems de la contratación se asignará el máximo puntaje de este subítem a quien presente ofertas por la mayoría de ítems solicitados y en forma proporcional para las demás ofertas.</w:t>
      </w:r>
    </w:p>
    <w:p w:rsidR="00FE2740" w:rsidRPr="00FE2740" w:rsidRDefault="00FE2740" w:rsidP="009B6431">
      <w:pPr>
        <w:widowControl/>
        <w:autoSpaceDE/>
        <w:autoSpaceDN/>
        <w:spacing w:before="2" w:line="360" w:lineRule="auto"/>
        <w:ind w:left="360"/>
        <w:jc w:val="both"/>
        <w:rPr>
          <w:rFonts w:ascii="Arial" w:hAnsi="Arial" w:cs="Arial"/>
          <w:color w:val="000000"/>
          <w:sz w:val="24"/>
          <w:szCs w:val="24"/>
          <w:lang w:val="es-AR" w:eastAsia="es-AR"/>
        </w:rPr>
      </w:pPr>
    </w:p>
    <w:p w:rsidR="004E6860" w:rsidRDefault="004E6860" w:rsidP="009B6431">
      <w:pPr>
        <w:widowControl/>
        <w:autoSpaceDE/>
        <w:autoSpaceDN/>
        <w:spacing w:before="2" w:line="360" w:lineRule="auto"/>
        <w:jc w:val="both"/>
        <w:rPr>
          <w:rFonts w:ascii="Arial" w:hAnsi="Arial" w:cs="Arial"/>
          <w:b/>
          <w:color w:val="000000"/>
          <w:sz w:val="24"/>
          <w:szCs w:val="24"/>
          <w:u w:val="single"/>
          <w:lang w:val="es-AR" w:eastAsia="es-AR"/>
        </w:rPr>
      </w:pPr>
      <w:r>
        <w:rPr>
          <w:rFonts w:ascii="Arial" w:hAnsi="Arial" w:cs="Arial"/>
          <w:b/>
          <w:color w:val="000000"/>
          <w:sz w:val="24"/>
          <w:szCs w:val="24"/>
          <w:u w:val="single"/>
          <w:lang w:val="es-AR" w:eastAsia="es-AR"/>
        </w:rPr>
        <w:t>4 – GARAN</w:t>
      </w:r>
      <w:r w:rsidR="00796899">
        <w:rPr>
          <w:rFonts w:ascii="Arial" w:hAnsi="Arial" w:cs="Arial"/>
          <w:b/>
          <w:color w:val="000000"/>
          <w:sz w:val="24"/>
          <w:szCs w:val="24"/>
          <w:u w:val="single"/>
          <w:lang w:val="es-AR" w:eastAsia="es-AR"/>
        </w:rPr>
        <w:t>TÍA DE FUNCIONAMIENTO:</w:t>
      </w:r>
    </w:p>
    <w:p w:rsidR="006A49B6" w:rsidRPr="006A49B6" w:rsidRDefault="00236F44" w:rsidP="009B6431">
      <w:pPr>
        <w:widowControl/>
        <w:autoSpaceDE/>
        <w:autoSpaceDN/>
        <w:spacing w:before="2" w:line="360" w:lineRule="auto"/>
        <w:jc w:val="both"/>
        <w:rPr>
          <w:rFonts w:ascii="Arial" w:hAnsi="Arial" w:cs="Arial"/>
          <w:color w:val="000000"/>
          <w:sz w:val="24"/>
          <w:szCs w:val="24"/>
          <w:lang w:val="es-AR" w:eastAsia="es-AR"/>
        </w:rPr>
      </w:pPr>
      <w:r w:rsidRPr="00C21033">
        <w:rPr>
          <w:rFonts w:ascii="Arial" w:hAnsi="Arial" w:cs="Arial"/>
          <w:color w:val="000000"/>
          <w:sz w:val="24"/>
          <w:szCs w:val="24"/>
          <w:lang w:val="es-AR" w:eastAsia="es-AR"/>
        </w:rPr>
        <w:lastRenderedPageBreak/>
        <w:t>Se asignará el máximo puntaje</w:t>
      </w:r>
      <w:r>
        <w:rPr>
          <w:rFonts w:ascii="Arial" w:hAnsi="Arial" w:cs="Arial"/>
          <w:color w:val="000000"/>
          <w:sz w:val="24"/>
          <w:szCs w:val="24"/>
          <w:lang w:val="es-AR" w:eastAsia="es-AR"/>
        </w:rPr>
        <w:t xml:space="preserve"> (10 puntos)</w:t>
      </w:r>
      <w:r w:rsidRPr="00C21033">
        <w:rPr>
          <w:rFonts w:ascii="Arial" w:hAnsi="Arial" w:cs="Arial"/>
          <w:color w:val="000000"/>
          <w:sz w:val="24"/>
          <w:szCs w:val="24"/>
          <w:lang w:val="es-AR" w:eastAsia="es-AR"/>
        </w:rPr>
        <w:t xml:space="preserve"> a las propuestas que </w:t>
      </w:r>
      <w:r>
        <w:rPr>
          <w:rFonts w:ascii="Arial" w:hAnsi="Arial" w:cs="Arial"/>
          <w:color w:val="000000"/>
          <w:sz w:val="24"/>
          <w:szCs w:val="24"/>
          <w:lang w:val="es-AR" w:eastAsia="es-AR"/>
        </w:rPr>
        <w:t>garanticen</w:t>
      </w:r>
      <w:r w:rsidR="006A49B6" w:rsidRPr="006A49B6">
        <w:rPr>
          <w:rFonts w:ascii="Arial" w:hAnsi="Arial" w:cs="Arial"/>
          <w:color w:val="000000"/>
          <w:sz w:val="24"/>
          <w:szCs w:val="24"/>
          <w:lang w:val="es-AR" w:eastAsia="es-AR"/>
        </w:rPr>
        <w:t xml:space="preserve"> por un plazo mínimo de tres (3) años, o el mayor que hubiera propuesto al cotizar, por cualquier defecto en el funcionamiento de la misma, debiendo sustituir la luminaria en cuestión dentro de las 48 hs desde la solicitud de recambio que le curse el organismo comprador. El adjudicatario proveedor podrá constatar antes o después del reclamo recibido, el funcionamiento defectuoso denunciado. El plazo de la garantía correrá a partir de la entrega de cada lote o luminaria vendida. Asimismo, el proveedor adjudicatario garantiza el funcionamiento por el tiempo y condiciones de vida útil ofrecidas en su propuesta; siendo responsable del reemplazo de los aparatos que no cumplan con la condición ofertada dentro de las horas de vida que anuncie en su presentación. A efecto de resguardar el efectivo cumplimiento de la obligación de garantía, el adjudicatario presentará ante cada organismo comprador una póliza de caución por un valor equivalente al 5% del valor de la Orden de Compra que se emita en su favor.</w:t>
      </w:r>
    </w:p>
    <w:p w:rsidR="006A49B6" w:rsidRDefault="006A49B6" w:rsidP="009B6431">
      <w:pPr>
        <w:widowControl/>
        <w:autoSpaceDE/>
        <w:autoSpaceDN/>
        <w:spacing w:before="2" w:line="360" w:lineRule="auto"/>
        <w:jc w:val="both"/>
        <w:rPr>
          <w:rFonts w:ascii="Arial" w:hAnsi="Arial" w:cs="Arial"/>
          <w:b/>
          <w:color w:val="000000"/>
          <w:sz w:val="24"/>
          <w:szCs w:val="24"/>
          <w:u w:val="single"/>
          <w:lang w:val="es-AR" w:eastAsia="es-AR"/>
        </w:rPr>
      </w:pPr>
    </w:p>
    <w:p w:rsidR="004E6860" w:rsidRDefault="004E6860" w:rsidP="009B6431">
      <w:pPr>
        <w:widowControl/>
        <w:autoSpaceDE/>
        <w:autoSpaceDN/>
        <w:spacing w:before="2" w:line="360" w:lineRule="auto"/>
        <w:jc w:val="both"/>
        <w:rPr>
          <w:rFonts w:ascii="Arial" w:hAnsi="Arial" w:cs="Arial"/>
          <w:b/>
          <w:color w:val="000000"/>
          <w:sz w:val="24"/>
          <w:szCs w:val="24"/>
          <w:u w:val="single"/>
          <w:lang w:val="es-AR" w:eastAsia="es-AR"/>
        </w:rPr>
      </w:pPr>
      <w:r>
        <w:rPr>
          <w:rFonts w:ascii="Arial" w:hAnsi="Arial" w:cs="Arial"/>
          <w:b/>
          <w:color w:val="000000"/>
          <w:sz w:val="24"/>
          <w:szCs w:val="24"/>
          <w:u w:val="single"/>
          <w:lang w:val="es-AR" w:eastAsia="es-AR"/>
        </w:rPr>
        <w:t xml:space="preserve">5 – OFERTA </w:t>
      </w:r>
      <w:r w:rsidR="00236F44">
        <w:rPr>
          <w:rFonts w:ascii="Arial" w:hAnsi="Arial" w:cs="Arial"/>
          <w:b/>
          <w:color w:val="000000"/>
          <w:sz w:val="24"/>
          <w:szCs w:val="24"/>
          <w:u w:val="single"/>
          <w:lang w:val="es-AR" w:eastAsia="es-AR"/>
        </w:rPr>
        <w:t xml:space="preserve">BÁSICA COMPLETA: </w:t>
      </w:r>
    </w:p>
    <w:p w:rsidR="00C21033" w:rsidRDefault="00C21033" w:rsidP="009B6431">
      <w:pPr>
        <w:widowControl/>
        <w:autoSpaceDE/>
        <w:autoSpaceDN/>
        <w:spacing w:before="2" w:line="360" w:lineRule="auto"/>
        <w:jc w:val="both"/>
        <w:rPr>
          <w:rFonts w:ascii="Arial" w:hAnsi="Arial" w:cs="Arial"/>
          <w:color w:val="000000"/>
          <w:sz w:val="24"/>
          <w:szCs w:val="24"/>
          <w:lang w:val="es-AR" w:eastAsia="es-AR"/>
        </w:rPr>
      </w:pPr>
      <w:r w:rsidRPr="00C21033">
        <w:rPr>
          <w:rFonts w:ascii="Arial" w:hAnsi="Arial" w:cs="Arial"/>
          <w:color w:val="000000"/>
          <w:sz w:val="24"/>
          <w:szCs w:val="24"/>
          <w:lang w:val="es-AR" w:eastAsia="es-AR"/>
        </w:rPr>
        <w:t>Se asignará el máximo puntaje</w:t>
      </w:r>
      <w:r w:rsidR="00236F44">
        <w:rPr>
          <w:rFonts w:ascii="Arial" w:hAnsi="Arial" w:cs="Arial"/>
          <w:color w:val="000000"/>
          <w:sz w:val="24"/>
          <w:szCs w:val="24"/>
          <w:lang w:val="es-AR" w:eastAsia="es-AR"/>
        </w:rPr>
        <w:t xml:space="preserve"> (10 puntos)</w:t>
      </w:r>
      <w:r w:rsidRPr="00C21033">
        <w:rPr>
          <w:rFonts w:ascii="Arial" w:hAnsi="Arial" w:cs="Arial"/>
          <w:color w:val="000000"/>
          <w:sz w:val="24"/>
          <w:szCs w:val="24"/>
          <w:lang w:val="es-AR" w:eastAsia="es-AR"/>
        </w:rPr>
        <w:t xml:space="preserve"> a las propuestas que coticen todos los ítems que son parte del presente proceso de contratación. En el caso de que ningún oferente cotizara todos los ítems de la contratación se asignará el máximo puntaje a quien presente ofertas por la mayoría de ítems solicitados y en forma proporcional para las demás ofertas.</w:t>
      </w:r>
    </w:p>
    <w:p w:rsidR="008561D4" w:rsidRDefault="008561D4" w:rsidP="009B6431">
      <w:pPr>
        <w:widowControl/>
        <w:autoSpaceDE/>
        <w:autoSpaceDN/>
        <w:spacing w:before="2" w:line="360" w:lineRule="auto"/>
        <w:jc w:val="both"/>
        <w:rPr>
          <w:rFonts w:ascii="Arial" w:hAnsi="Arial" w:cs="Arial"/>
          <w:color w:val="000000"/>
          <w:sz w:val="24"/>
          <w:szCs w:val="24"/>
          <w:lang w:val="es-AR" w:eastAsia="es-AR"/>
        </w:rPr>
      </w:pPr>
    </w:p>
    <w:p w:rsidR="008561D4" w:rsidRPr="008561D4" w:rsidRDefault="008561D4" w:rsidP="009B6431">
      <w:pPr>
        <w:widowControl/>
        <w:adjustRightInd w:val="0"/>
        <w:spacing w:line="360" w:lineRule="auto"/>
        <w:jc w:val="both"/>
        <w:rPr>
          <w:rFonts w:ascii="Arial" w:eastAsiaTheme="minorHAnsi" w:hAnsi="Arial" w:cs="Arial"/>
          <w:b/>
          <w:sz w:val="24"/>
          <w:szCs w:val="24"/>
          <w:lang w:val="es-AR"/>
        </w:rPr>
      </w:pPr>
      <w:r w:rsidRPr="008561D4">
        <w:rPr>
          <w:rFonts w:ascii="Arial" w:eastAsia="Tahoma" w:hAnsi="Arial" w:cs="Arial"/>
          <w:b/>
          <w:sz w:val="24"/>
          <w:szCs w:val="24"/>
          <w:lang w:val="es-AR"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8561D4" w:rsidRPr="00C21033" w:rsidRDefault="008561D4" w:rsidP="009B6431">
      <w:pPr>
        <w:widowControl/>
        <w:autoSpaceDE/>
        <w:autoSpaceDN/>
        <w:spacing w:before="2" w:line="360" w:lineRule="auto"/>
        <w:jc w:val="both"/>
        <w:rPr>
          <w:rFonts w:ascii="Arial" w:hAnsi="Arial" w:cs="Arial"/>
          <w:color w:val="000000"/>
          <w:sz w:val="24"/>
          <w:szCs w:val="24"/>
          <w:lang w:val="es-AR" w:eastAsia="es-AR"/>
        </w:rPr>
      </w:pPr>
    </w:p>
    <w:sectPr w:rsidR="008561D4" w:rsidRPr="00C21033" w:rsidSect="00270D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674"/>
    <w:multiLevelType w:val="hybridMultilevel"/>
    <w:tmpl w:val="90406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FB488F"/>
    <w:multiLevelType w:val="hybridMultilevel"/>
    <w:tmpl w:val="CDD27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2F2FA1"/>
    <w:multiLevelType w:val="hybridMultilevel"/>
    <w:tmpl w:val="BDBC70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B6352"/>
    <w:multiLevelType w:val="hybridMultilevel"/>
    <w:tmpl w:val="121404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7FB6484"/>
    <w:multiLevelType w:val="hybridMultilevel"/>
    <w:tmpl w:val="C7EC52E0"/>
    <w:lvl w:ilvl="0" w:tplc="D79E5116">
      <w:start w:val="1"/>
      <w:numFmt w:val="lowerLetter"/>
      <w:lvlText w:val="%1."/>
      <w:lvlJc w:val="left"/>
      <w:pPr>
        <w:ind w:left="720" w:hanging="360"/>
      </w:pPr>
      <w:rPr>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F9033E2"/>
    <w:multiLevelType w:val="hybridMultilevel"/>
    <w:tmpl w:val="5142C29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9DC38B3"/>
    <w:multiLevelType w:val="hybridMultilevel"/>
    <w:tmpl w:val="4384A72E"/>
    <w:lvl w:ilvl="0" w:tplc="2A9C29E8">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A5"/>
    <w:rsid w:val="001336A2"/>
    <w:rsid w:val="00236F44"/>
    <w:rsid w:val="00270D8B"/>
    <w:rsid w:val="00282564"/>
    <w:rsid w:val="002F0382"/>
    <w:rsid w:val="00396880"/>
    <w:rsid w:val="004267A5"/>
    <w:rsid w:val="004E6860"/>
    <w:rsid w:val="006A49B6"/>
    <w:rsid w:val="0072722F"/>
    <w:rsid w:val="00796899"/>
    <w:rsid w:val="008561D4"/>
    <w:rsid w:val="00904955"/>
    <w:rsid w:val="009B6431"/>
    <w:rsid w:val="00A86841"/>
    <w:rsid w:val="00AA6004"/>
    <w:rsid w:val="00AF0E02"/>
    <w:rsid w:val="00BE1AB2"/>
    <w:rsid w:val="00BF3381"/>
    <w:rsid w:val="00C21033"/>
    <w:rsid w:val="00D374E4"/>
    <w:rsid w:val="00DB3069"/>
    <w:rsid w:val="00DC2097"/>
    <w:rsid w:val="00DC2C71"/>
    <w:rsid w:val="00DE5D03"/>
    <w:rsid w:val="00FE27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B7C5-3F7A-4DCB-9106-F02BFD6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7A5"/>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4267A5"/>
    <w:pPr>
      <w:ind w:left="92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267A5"/>
    <w:rPr>
      <w:rFonts w:ascii="Times New Roman" w:eastAsia="Times New Roman" w:hAnsi="Times New Roman" w:cs="Times New Roman"/>
      <w:b/>
      <w:bCs/>
      <w:sz w:val="24"/>
      <w:szCs w:val="24"/>
      <w:lang w:val="es-ES"/>
    </w:rPr>
  </w:style>
  <w:style w:type="table" w:customStyle="1" w:styleId="TableNormal">
    <w:name w:val="Table Normal"/>
    <w:uiPriority w:val="2"/>
    <w:semiHidden/>
    <w:unhideWhenUsed/>
    <w:qFormat/>
    <w:rsid w:val="004267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267A5"/>
    <w:rPr>
      <w:sz w:val="24"/>
      <w:szCs w:val="24"/>
    </w:rPr>
  </w:style>
  <w:style w:type="character" w:customStyle="1" w:styleId="TextoindependienteCar">
    <w:name w:val="Texto independiente Car"/>
    <w:basedOn w:val="Fuentedeprrafopredeter"/>
    <w:link w:val="Textoindependiente"/>
    <w:uiPriority w:val="1"/>
    <w:rsid w:val="004267A5"/>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4267A5"/>
    <w:pPr>
      <w:ind w:left="1395" w:hanging="361"/>
    </w:pPr>
  </w:style>
  <w:style w:type="paragraph" w:customStyle="1" w:styleId="TableParagraph">
    <w:name w:val="Table Paragraph"/>
    <w:basedOn w:val="Normal"/>
    <w:uiPriority w:val="1"/>
    <w:qFormat/>
    <w:rsid w:val="004267A5"/>
  </w:style>
  <w:style w:type="table" w:styleId="Tablaconcuadrcula">
    <w:name w:val="Table Grid"/>
    <w:basedOn w:val="Tablanormal"/>
    <w:uiPriority w:val="39"/>
    <w:rsid w:val="0027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70D8B"/>
    <w:pPr>
      <w:widowControl/>
      <w:autoSpaceDE/>
      <w:autoSpaceDN/>
      <w:spacing w:after="200"/>
    </w:pPr>
    <w:rPr>
      <w:rFonts w:asciiTheme="minorHAnsi" w:eastAsiaTheme="minorHAnsi" w:hAnsiTheme="minorHAnsi" w:cstheme="minorBidi"/>
      <w:i/>
      <w:iCs/>
      <w:color w:val="44546A" w:themeColor="text2"/>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doza.gov.ar/compras/compras-publicas-sustent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za.gov.ar/compras/compras-publicas-sustentables/" TargetMode="External"/><Relationship Id="rId5"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9798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2022-01-28T13:49:00Z</dcterms:created>
  <dcterms:modified xsi:type="dcterms:W3CDTF">2022-01-28T13:49:00Z</dcterms:modified>
</cp:coreProperties>
</file>