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146EB" w14:textId="007C7878" w:rsidR="00D73AC6" w:rsidRDefault="00D73AC6" w:rsidP="00F332BF">
      <w:pPr>
        <w:pStyle w:val="Descripcin"/>
        <w:keepNext/>
        <w:spacing w:line="360" w:lineRule="auto"/>
        <w:jc w:val="center"/>
        <w:rPr>
          <w:rFonts w:ascii="Arial" w:hAnsi="Arial" w:cs="Arial"/>
          <w:b/>
          <w:i w:val="0"/>
          <w:color w:val="auto"/>
          <w:sz w:val="24"/>
          <w:szCs w:val="24"/>
          <w:u w:val="single"/>
        </w:rPr>
      </w:pPr>
      <w:bookmarkStart w:id="0" w:name="_GoBack"/>
      <w:bookmarkEnd w:id="0"/>
      <w:r w:rsidRPr="00D1192C">
        <w:rPr>
          <w:rFonts w:ascii="Arial" w:hAnsi="Arial" w:cs="Arial"/>
          <w:b/>
          <w:i w:val="0"/>
          <w:color w:val="auto"/>
          <w:sz w:val="24"/>
          <w:szCs w:val="24"/>
          <w:u w:val="single"/>
        </w:rPr>
        <w:t xml:space="preserve">GRILLA MODELO DE EVALUACIÓN DE OFERTA PARA </w:t>
      </w:r>
      <w:r w:rsidR="008A2976">
        <w:rPr>
          <w:rFonts w:ascii="Arial" w:hAnsi="Arial" w:cs="Arial"/>
          <w:b/>
          <w:i w:val="0"/>
          <w:color w:val="auto"/>
          <w:sz w:val="24"/>
          <w:szCs w:val="24"/>
          <w:u w:val="single"/>
        </w:rPr>
        <w:t>LA ADQUISICIÓ</w:t>
      </w:r>
      <w:r w:rsidR="004F1852">
        <w:rPr>
          <w:rFonts w:ascii="Arial" w:hAnsi="Arial" w:cs="Arial"/>
          <w:b/>
          <w:i w:val="0"/>
          <w:color w:val="auto"/>
          <w:sz w:val="24"/>
          <w:szCs w:val="24"/>
          <w:u w:val="single"/>
        </w:rPr>
        <w:t>N DE VEHÍCULOS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D73AC6" w:rsidRPr="00D1192C" w14:paraId="3B06C0A5" w14:textId="77777777" w:rsidTr="00F332BF">
        <w:trPr>
          <w:trHeight w:val="649"/>
          <w:jc w:val="center"/>
        </w:trPr>
        <w:tc>
          <w:tcPr>
            <w:tcW w:w="5132" w:type="dxa"/>
            <w:shd w:val="clear" w:color="auto" w:fill="auto"/>
            <w:tcMar>
              <w:top w:w="15" w:type="dxa"/>
              <w:left w:w="15" w:type="dxa"/>
              <w:bottom w:w="0" w:type="dxa"/>
              <w:right w:w="15" w:type="dxa"/>
            </w:tcMar>
            <w:vAlign w:val="center"/>
            <w:hideMark/>
          </w:tcPr>
          <w:p w14:paraId="3ACA7C37" w14:textId="77777777" w:rsidR="00D73AC6" w:rsidRPr="00D1192C" w:rsidRDefault="00D73AC6" w:rsidP="00F332BF">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14:paraId="050C1177" w14:textId="77777777" w:rsidR="00D73AC6" w:rsidRPr="00D1192C" w:rsidRDefault="00D73AC6" w:rsidP="00F332BF">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D73AC6" w:rsidRPr="00D1192C" w14:paraId="5CF8EDBD" w14:textId="77777777" w:rsidTr="00F332BF">
        <w:trPr>
          <w:trHeight w:val="649"/>
          <w:jc w:val="center"/>
        </w:trPr>
        <w:tc>
          <w:tcPr>
            <w:tcW w:w="5132" w:type="dxa"/>
            <w:shd w:val="clear" w:color="auto" w:fill="auto"/>
            <w:tcMar>
              <w:top w:w="15" w:type="dxa"/>
              <w:left w:w="15" w:type="dxa"/>
              <w:bottom w:w="0" w:type="dxa"/>
              <w:right w:w="15" w:type="dxa"/>
            </w:tcMar>
            <w:vAlign w:val="center"/>
          </w:tcPr>
          <w:p w14:paraId="0D195F8C" w14:textId="77777777" w:rsidR="00D73AC6" w:rsidRPr="00D1192C" w:rsidRDefault="00D73AC6" w:rsidP="00F332BF">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Antecedentes:</w:t>
            </w:r>
          </w:p>
        </w:tc>
        <w:tc>
          <w:tcPr>
            <w:tcW w:w="1711" w:type="dxa"/>
            <w:shd w:val="clear" w:color="auto" w:fill="auto"/>
            <w:tcMar>
              <w:top w:w="15" w:type="dxa"/>
              <w:left w:w="15" w:type="dxa"/>
              <w:bottom w:w="0" w:type="dxa"/>
              <w:right w:w="15" w:type="dxa"/>
            </w:tcMar>
            <w:vAlign w:val="center"/>
          </w:tcPr>
          <w:p w14:paraId="21733D07" w14:textId="77777777" w:rsidR="00D73AC6" w:rsidRPr="00D1192C" w:rsidRDefault="00073747" w:rsidP="00F332BF">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15</w:t>
            </w:r>
          </w:p>
        </w:tc>
      </w:tr>
      <w:tr w:rsidR="00D73AC6" w:rsidRPr="00D1192C" w14:paraId="37FC6D79" w14:textId="77777777" w:rsidTr="00F332BF">
        <w:trPr>
          <w:trHeight w:val="649"/>
          <w:jc w:val="center"/>
        </w:trPr>
        <w:tc>
          <w:tcPr>
            <w:tcW w:w="5132" w:type="dxa"/>
            <w:shd w:val="clear" w:color="auto" w:fill="auto"/>
            <w:tcMar>
              <w:top w:w="15" w:type="dxa"/>
              <w:left w:w="15" w:type="dxa"/>
              <w:bottom w:w="0" w:type="dxa"/>
              <w:right w:w="15" w:type="dxa"/>
            </w:tcMar>
            <w:vAlign w:val="center"/>
          </w:tcPr>
          <w:p w14:paraId="54C54E57" w14:textId="77777777" w:rsidR="00D73AC6" w:rsidRPr="002402D6" w:rsidRDefault="00D73AC6" w:rsidP="00F332BF">
            <w:pPr>
              <w:pStyle w:val="Prrafodelista"/>
              <w:numPr>
                <w:ilvl w:val="0"/>
                <w:numId w:val="2"/>
              </w:numPr>
              <w:spacing w:after="0" w:line="360" w:lineRule="auto"/>
              <w:rPr>
                <w:rFonts w:ascii="Arial" w:eastAsia="Times New Roman" w:hAnsi="Arial" w:cs="Arial"/>
                <w:color w:val="000000"/>
                <w:sz w:val="24"/>
                <w:szCs w:val="24"/>
                <w:lang w:eastAsia="es-AR"/>
              </w:rPr>
            </w:pPr>
            <w:r w:rsidRPr="002402D6">
              <w:rPr>
                <w:rFonts w:ascii="Arial" w:eastAsia="Times New Roman" w:hAnsi="Arial" w:cs="Arial"/>
                <w:color w:val="000000"/>
                <w:sz w:val="24"/>
                <w:szCs w:val="24"/>
                <w:lang w:eastAsia="es-AR"/>
              </w:rPr>
              <w:t>Comerciales</w:t>
            </w:r>
          </w:p>
        </w:tc>
        <w:tc>
          <w:tcPr>
            <w:tcW w:w="1711" w:type="dxa"/>
            <w:shd w:val="clear" w:color="auto" w:fill="auto"/>
            <w:tcMar>
              <w:top w:w="15" w:type="dxa"/>
              <w:left w:w="15" w:type="dxa"/>
              <w:bottom w:w="0" w:type="dxa"/>
              <w:right w:w="15" w:type="dxa"/>
            </w:tcMar>
            <w:vAlign w:val="center"/>
          </w:tcPr>
          <w:p w14:paraId="305B41EA" w14:textId="77777777" w:rsidR="00D73AC6" w:rsidRPr="00D1192C" w:rsidRDefault="008A2976" w:rsidP="00F332BF">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(10</w:t>
            </w:r>
            <w:r w:rsidR="00D73AC6" w:rsidRPr="00D1192C">
              <w:rPr>
                <w:rFonts w:ascii="Arial" w:eastAsia="Times New Roman" w:hAnsi="Arial" w:cs="Arial"/>
                <w:bCs/>
                <w:color w:val="000000"/>
                <w:sz w:val="24"/>
                <w:szCs w:val="24"/>
                <w:lang w:eastAsia="es-AR"/>
              </w:rPr>
              <w:t>)</w:t>
            </w:r>
          </w:p>
        </w:tc>
      </w:tr>
      <w:tr w:rsidR="00D73AC6" w:rsidRPr="00D1192C" w14:paraId="532A2377" w14:textId="77777777" w:rsidTr="00F332BF">
        <w:trPr>
          <w:trHeight w:val="649"/>
          <w:jc w:val="center"/>
        </w:trPr>
        <w:tc>
          <w:tcPr>
            <w:tcW w:w="5132" w:type="dxa"/>
            <w:shd w:val="clear" w:color="auto" w:fill="auto"/>
            <w:tcMar>
              <w:top w:w="15" w:type="dxa"/>
              <w:left w:w="15" w:type="dxa"/>
              <w:bottom w:w="0" w:type="dxa"/>
              <w:right w:w="15" w:type="dxa"/>
            </w:tcMar>
            <w:vAlign w:val="center"/>
          </w:tcPr>
          <w:p w14:paraId="6A008F06" w14:textId="77777777" w:rsidR="00D73AC6" w:rsidRPr="002402D6" w:rsidRDefault="00D73AC6" w:rsidP="00F332BF">
            <w:pPr>
              <w:pStyle w:val="Prrafodelista"/>
              <w:numPr>
                <w:ilvl w:val="0"/>
                <w:numId w:val="2"/>
              </w:numPr>
              <w:spacing w:after="0" w:line="360" w:lineRule="auto"/>
              <w:rPr>
                <w:rFonts w:ascii="Arial" w:eastAsia="Times New Roman" w:hAnsi="Arial" w:cs="Arial"/>
                <w:color w:val="000000"/>
                <w:sz w:val="24"/>
                <w:szCs w:val="24"/>
                <w:lang w:eastAsia="es-AR"/>
              </w:rPr>
            </w:pPr>
            <w:r w:rsidRPr="002402D6">
              <w:rPr>
                <w:rFonts w:ascii="Arial" w:eastAsia="Times New Roman" w:hAnsi="Arial" w:cs="Arial"/>
                <w:color w:val="000000"/>
                <w:sz w:val="24"/>
                <w:szCs w:val="24"/>
                <w:lang w:eastAsia="es-AR"/>
              </w:rPr>
              <w:t>Contractuales</w:t>
            </w:r>
          </w:p>
        </w:tc>
        <w:tc>
          <w:tcPr>
            <w:tcW w:w="1711" w:type="dxa"/>
            <w:shd w:val="clear" w:color="auto" w:fill="auto"/>
            <w:tcMar>
              <w:top w:w="15" w:type="dxa"/>
              <w:left w:w="15" w:type="dxa"/>
              <w:bottom w:w="0" w:type="dxa"/>
              <w:right w:w="15" w:type="dxa"/>
            </w:tcMar>
            <w:vAlign w:val="center"/>
          </w:tcPr>
          <w:p w14:paraId="327BD1BE" w14:textId="77777777" w:rsidR="00D73AC6" w:rsidRPr="00D1192C" w:rsidRDefault="00073747" w:rsidP="00F332BF">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(5</w:t>
            </w:r>
            <w:r w:rsidR="00D73AC6" w:rsidRPr="00D1192C">
              <w:rPr>
                <w:rFonts w:ascii="Arial" w:eastAsia="Times New Roman" w:hAnsi="Arial" w:cs="Arial"/>
                <w:bCs/>
                <w:color w:val="000000"/>
                <w:sz w:val="24"/>
                <w:szCs w:val="24"/>
                <w:lang w:eastAsia="es-AR"/>
              </w:rPr>
              <w:t>)</w:t>
            </w:r>
          </w:p>
        </w:tc>
      </w:tr>
      <w:tr w:rsidR="00D73AC6" w:rsidRPr="00D1192C" w14:paraId="15116612" w14:textId="77777777" w:rsidTr="00F332BF">
        <w:trPr>
          <w:trHeight w:val="649"/>
          <w:jc w:val="center"/>
        </w:trPr>
        <w:tc>
          <w:tcPr>
            <w:tcW w:w="5132" w:type="dxa"/>
            <w:shd w:val="clear" w:color="auto" w:fill="auto"/>
            <w:tcMar>
              <w:top w:w="15" w:type="dxa"/>
              <w:left w:w="15" w:type="dxa"/>
              <w:bottom w:w="0" w:type="dxa"/>
              <w:right w:w="15" w:type="dxa"/>
            </w:tcMar>
            <w:vAlign w:val="center"/>
            <w:hideMark/>
          </w:tcPr>
          <w:p w14:paraId="129F63F9" w14:textId="3A1A7E0B" w:rsidR="00D73AC6" w:rsidRPr="00D1192C" w:rsidRDefault="00FC791E" w:rsidP="00F332BF">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Calidad</w:t>
            </w:r>
            <w:r w:rsidR="00D73AC6">
              <w:rPr>
                <w:rFonts w:ascii="Arial" w:eastAsia="Times New Roman" w:hAnsi="Arial" w:cs="Arial"/>
                <w:b/>
                <w:color w:val="000000"/>
                <w:sz w:val="24"/>
                <w:szCs w:val="24"/>
                <w:lang w:eastAsia="es-AR"/>
              </w:rPr>
              <w:t xml:space="preserve"> Técnica/</w:t>
            </w:r>
            <w:r>
              <w:rPr>
                <w:rFonts w:ascii="Arial" w:eastAsia="Times New Roman" w:hAnsi="Arial" w:cs="Arial"/>
                <w:b/>
                <w:color w:val="000000"/>
                <w:sz w:val="24"/>
                <w:szCs w:val="24"/>
                <w:lang w:eastAsia="es-AR"/>
              </w:rPr>
              <w:t>Indicadores de Calidad</w:t>
            </w:r>
          </w:p>
        </w:tc>
        <w:tc>
          <w:tcPr>
            <w:tcW w:w="1711" w:type="dxa"/>
            <w:shd w:val="clear" w:color="auto" w:fill="auto"/>
            <w:tcMar>
              <w:top w:w="15" w:type="dxa"/>
              <w:left w:w="15" w:type="dxa"/>
              <w:bottom w:w="0" w:type="dxa"/>
              <w:right w:w="15" w:type="dxa"/>
            </w:tcMar>
            <w:vAlign w:val="center"/>
            <w:hideMark/>
          </w:tcPr>
          <w:p w14:paraId="07CB15D6" w14:textId="35538374" w:rsidR="00D73AC6" w:rsidRPr="00D1192C" w:rsidRDefault="008A5195" w:rsidP="00F332BF">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3</w:t>
            </w:r>
            <w:r w:rsidR="00073747">
              <w:rPr>
                <w:rFonts w:ascii="Arial" w:eastAsia="Times New Roman" w:hAnsi="Arial" w:cs="Arial"/>
                <w:b/>
                <w:bCs/>
                <w:color w:val="000000"/>
                <w:sz w:val="24"/>
                <w:szCs w:val="24"/>
                <w:lang w:eastAsia="es-AR"/>
              </w:rPr>
              <w:t>5</w:t>
            </w:r>
          </w:p>
        </w:tc>
      </w:tr>
      <w:tr w:rsidR="00D73AC6" w:rsidRPr="00D1192C" w14:paraId="30EF5A4A" w14:textId="77777777" w:rsidTr="00F332BF">
        <w:trPr>
          <w:trHeight w:val="649"/>
          <w:jc w:val="center"/>
        </w:trPr>
        <w:tc>
          <w:tcPr>
            <w:tcW w:w="5132" w:type="dxa"/>
            <w:shd w:val="clear" w:color="auto" w:fill="auto"/>
            <w:tcMar>
              <w:top w:w="15" w:type="dxa"/>
              <w:left w:w="15" w:type="dxa"/>
              <w:bottom w:w="0" w:type="dxa"/>
              <w:right w:w="15" w:type="dxa"/>
            </w:tcMar>
            <w:vAlign w:val="center"/>
            <w:hideMark/>
          </w:tcPr>
          <w:p w14:paraId="57858446" w14:textId="77777777" w:rsidR="00D73AC6" w:rsidRPr="00D1192C" w:rsidRDefault="00D73AC6" w:rsidP="00F332BF">
            <w:pPr>
              <w:pStyle w:val="Prrafodelista"/>
              <w:numPr>
                <w:ilvl w:val="0"/>
                <w:numId w:val="1"/>
              </w:numPr>
              <w:spacing w:after="0" w:line="360" w:lineRule="auto"/>
              <w:ind w:left="264" w:hanging="264"/>
              <w:rPr>
                <w:rFonts w:ascii="Arial" w:eastAsia="Times New Roman" w:hAnsi="Arial" w:cs="Arial"/>
                <w:color w:val="000000"/>
                <w:sz w:val="24"/>
                <w:szCs w:val="24"/>
                <w:lang w:eastAsia="es-AR"/>
              </w:rPr>
            </w:pPr>
            <w:r w:rsidRPr="00D1192C">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14:paraId="38305310" w14:textId="77777777" w:rsidR="00D73AC6" w:rsidRPr="00D1192C" w:rsidRDefault="00D73AC6" w:rsidP="00F332BF">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w:t>
            </w:r>
          </w:p>
        </w:tc>
      </w:tr>
      <w:tr w:rsidR="00D73AC6" w:rsidRPr="00D1192C" w14:paraId="22820368" w14:textId="77777777" w:rsidTr="00F332BF">
        <w:trPr>
          <w:trHeight w:val="649"/>
          <w:jc w:val="center"/>
        </w:trPr>
        <w:tc>
          <w:tcPr>
            <w:tcW w:w="5132" w:type="dxa"/>
            <w:shd w:val="clear" w:color="auto" w:fill="auto"/>
            <w:tcMar>
              <w:top w:w="15" w:type="dxa"/>
              <w:left w:w="15" w:type="dxa"/>
              <w:bottom w:w="0" w:type="dxa"/>
              <w:right w:w="15" w:type="dxa"/>
            </w:tcMar>
            <w:vAlign w:val="center"/>
            <w:hideMark/>
          </w:tcPr>
          <w:p w14:paraId="69679BAD" w14:textId="77777777" w:rsidR="00D73AC6" w:rsidRPr="00D1192C" w:rsidRDefault="00D73AC6" w:rsidP="00F332BF">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14:paraId="46CC3109" w14:textId="77777777" w:rsidR="00D73AC6" w:rsidRPr="00D1192C" w:rsidRDefault="008A2976" w:rsidP="00F332BF">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4</w:t>
            </w:r>
            <w:r w:rsidR="00D73AC6" w:rsidRPr="00D1192C">
              <w:rPr>
                <w:rFonts w:ascii="Arial" w:eastAsia="Times New Roman" w:hAnsi="Arial" w:cs="Arial"/>
                <w:b/>
                <w:bCs/>
                <w:color w:val="000000"/>
                <w:sz w:val="24"/>
                <w:szCs w:val="24"/>
                <w:lang w:eastAsia="es-AR"/>
              </w:rPr>
              <w:t>0</w:t>
            </w:r>
          </w:p>
        </w:tc>
      </w:tr>
      <w:tr w:rsidR="00D73AC6" w:rsidRPr="00D1192C" w14:paraId="0AFEE526" w14:textId="77777777" w:rsidTr="00F332BF">
        <w:trPr>
          <w:trHeight w:val="649"/>
          <w:jc w:val="center"/>
        </w:trPr>
        <w:tc>
          <w:tcPr>
            <w:tcW w:w="5132" w:type="dxa"/>
            <w:shd w:val="clear" w:color="auto" w:fill="auto"/>
            <w:tcMar>
              <w:top w:w="15" w:type="dxa"/>
              <w:left w:w="15" w:type="dxa"/>
              <w:bottom w:w="0" w:type="dxa"/>
              <w:right w:w="15" w:type="dxa"/>
            </w:tcMar>
            <w:vAlign w:val="center"/>
            <w:hideMark/>
          </w:tcPr>
          <w:p w14:paraId="70C97E27" w14:textId="77777777" w:rsidR="00D73AC6" w:rsidRPr="00D1192C" w:rsidRDefault="00D73AC6" w:rsidP="00F332BF">
            <w:pPr>
              <w:spacing w:after="0" w:line="360" w:lineRule="auto"/>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14:paraId="7CF9820B" w14:textId="77777777" w:rsidR="00D73AC6" w:rsidRPr="00D1192C" w:rsidRDefault="00D73AC6" w:rsidP="00F332BF">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100</w:t>
            </w:r>
          </w:p>
        </w:tc>
      </w:tr>
    </w:tbl>
    <w:p w14:paraId="6FA98DBC" w14:textId="77777777" w:rsidR="00D73AC6" w:rsidRDefault="00D73AC6" w:rsidP="00F332BF">
      <w:pPr>
        <w:spacing w:line="360" w:lineRule="auto"/>
        <w:rPr>
          <w:rFonts w:ascii="Arial" w:hAnsi="Arial" w:cs="Arial"/>
          <w:sz w:val="24"/>
          <w:szCs w:val="24"/>
        </w:rPr>
      </w:pPr>
    </w:p>
    <w:p w14:paraId="56AF6892" w14:textId="77777777" w:rsidR="00D73AC6" w:rsidRDefault="00D73AC6" w:rsidP="00F332BF">
      <w:pPr>
        <w:spacing w:line="360" w:lineRule="auto"/>
        <w:jc w:val="both"/>
        <w:rPr>
          <w:rFonts w:ascii="Arial" w:hAnsi="Arial" w:cs="Arial"/>
          <w:sz w:val="24"/>
          <w:szCs w:val="24"/>
        </w:rPr>
      </w:pPr>
      <w:r w:rsidRPr="00D73AC6">
        <w:rPr>
          <w:rFonts w:ascii="Arial" w:hAnsi="Arial" w:cs="Arial"/>
          <w:b/>
          <w:sz w:val="24"/>
          <w:szCs w:val="24"/>
          <w:u w:val="single"/>
        </w:rPr>
        <w:t>1- ANTECEDENTES</w:t>
      </w:r>
      <w:r>
        <w:rPr>
          <w:rFonts w:ascii="Arial" w:hAnsi="Arial" w:cs="Arial"/>
          <w:b/>
          <w:sz w:val="24"/>
          <w:szCs w:val="24"/>
          <w:u w:val="single"/>
        </w:rPr>
        <w:t>:</w:t>
      </w:r>
      <w:r w:rsidRPr="00D73AC6">
        <w:rPr>
          <w:rFonts w:ascii="Arial" w:hAnsi="Arial" w:cs="Arial"/>
          <w:sz w:val="24"/>
          <w:szCs w:val="24"/>
        </w:rPr>
        <w:t xml:space="preserve"> </w:t>
      </w:r>
    </w:p>
    <w:p w14:paraId="224B8BDF" w14:textId="4F9F99DD" w:rsidR="00D73AC6" w:rsidRPr="00D73AC6" w:rsidRDefault="00D73AC6" w:rsidP="00F332BF">
      <w:pPr>
        <w:spacing w:line="360" w:lineRule="auto"/>
        <w:jc w:val="both"/>
        <w:rPr>
          <w:rFonts w:ascii="Arial" w:hAnsi="Arial" w:cs="Arial"/>
          <w:sz w:val="24"/>
          <w:szCs w:val="24"/>
        </w:rPr>
      </w:pPr>
      <w:r w:rsidRPr="00D73AC6">
        <w:rPr>
          <w:rFonts w:ascii="Arial" w:hAnsi="Arial" w:cs="Arial"/>
          <w:sz w:val="24"/>
          <w:szCs w:val="24"/>
        </w:rPr>
        <w:t xml:space="preserve">Este rubro tiene </w:t>
      </w:r>
      <w:r w:rsidR="00476820">
        <w:rPr>
          <w:rFonts w:ascii="Arial" w:hAnsi="Arial" w:cs="Arial"/>
          <w:sz w:val="24"/>
          <w:szCs w:val="24"/>
        </w:rPr>
        <w:t>previsto un puntaje máximo de 15</w:t>
      </w:r>
      <w:r w:rsidRPr="00D73AC6">
        <w:rPr>
          <w:rFonts w:ascii="Arial" w:hAnsi="Arial" w:cs="Arial"/>
          <w:sz w:val="24"/>
          <w:szCs w:val="24"/>
        </w:rPr>
        <w:t xml:space="preserve"> puntos y se calificará en función de los antecedentes comerciales (1</w:t>
      </w:r>
      <w:r w:rsidR="00476820">
        <w:rPr>
          <w:rFonts w:ascii="Arial" w:hAnsi="Arial" w:cs="Arial"/>
          <w:sz w:val="24"/>
          <w:szCs w:val="24"/>
        </w:rPr>
        <w:t>0 puntos) y contractuales (5</w:t>
      </w:r>
      <w:r w:rsidRPr="00D73AC6">
        <w:rPr>
          <w:rFonts w:ascii="Arial" w:hAnsi="Arial" w:cs="Arial"/>
          <w:sz w:val="24"/>
          <w:szCs w:val="24"/>
        </w:rPr>
        <w:t xml:space="preserve"> puntos) de los oferentes: </w:t>
      </w:r>
    </w:p>
    <w:p w14:paraId="4741B3E4" w14:textId="77777777" w:rsidR="00D73AC6" w:rsidRPr="00255892" w:rsidRDefault="00D73AC6" w:rsidP="00F332BF">
      <w:pPr>
        <w:spacing w:line="360" w:lineRule="auto"/>
        <w:jc w:val="both"/>
        <w:rPr>
          <w:rFonts w:ascii="Arial" w:hAnsi="Arial" w:cs="Arial"/>
          <w:sz w:val="24"/>
          <w:szCs w:val="24"/>
        </w:rPr>
      </w:pPr>
      <w:r w:rsidRPr="00255892">
        <w:rPr>
          <w:rFonts w:ascii="Arial" w:hAnsi="Arial" w:cs="Arial"/>
          <w:b/>
          <w:sz w:val="24"/>
          <w:szCs w:val="24"/>
        </w:rPr>
        <w:t>a. Comerciales:</w:t>
      </w:r>
      <w:r w:rsidRPr="00255892">
        <w:rPr>
          <w:rFonts w:ascii="Arial" w:hAnsi="Arial" w:cs="Arial"/>
          <w:sz w:val="24"/>
          <w:szCs w:val="24"/>
        </w:rPr>
        <w:t xml:space="preserve"> Teniendo presente que para la presente licitación pública de Acuerdo Marco es condición de admisibilidad técnica, acreditar como mínimo haber prestado un servicio similar al objeto de la contratación, en los últimos dos años, administrando la flota de un cliente que posea como mínimo 200 unidades vehiculares, se otorgará el máximo de 1</w:t>
      </w:r>
      <w:r w:rsidR="00D5364B" w:rsidRPr="00255892">
        <w:rPr>
          <w:rFonts w:ascii="Arial" w:hAnsi="Arial" w:cs="Arial"/>
          <w:sz w:val="24"/>
          <w:szCs w:val="24"/>
        </w:rPr>
        <w:t>0</w:t>
      </w:r>
      <w:r w:rsidRPr="00255892">
        <w:rPr>
          <w:rFonts w:ascii="Arial" w:hAnsi="Arial" w:cs="Arial"/>
          <w:sz w:val="24"/>
          <w:szCs w:val="24"/>
        </w:rPr>
        <w:t xml:space="preserve"> puntos a las/los oferentes que acrediten haber prestado servicios similares al licitado, administrando flotas cuya sumatoria arroje como resultado el mayor número de unidades gestionadas en los últimos dos años, ya </w:t>
      </w:r>
      <w:proofErr w:type="spellStart"/>
      <w:r w:rsidRPr="00255892">
        <w:rPr>
          <w:rFonts w:ascii="Arial" w:hAnsi="Arial" w:cs="Arial"/>
          <w:sz w:val="24"/>
          <w:szCs w:val="24"/>
        </w:rPr>
        <w:t>se</w:t>
      </w:r>
      <w:proofErr w:type="spellEnd"/>
      <w:r w:rsidRPr="00255892">
        <w:rPr>
          <w:rFonts w:ascii="Arial" w:hAnsi="Arial" w:cs="Arial"/>
          <w:sz w:val="24"/>
          <w:szCs w:val="24"/>
        </w:rPr>
        <w:t xml:space="preserve"> que se trate de clientes del sector público o privado. El orden de mérito para las demás ofertas, se determinará conforme la regla de proporcionalidad.</w:t>
      </w:r>
    </w:p>
    <w:p w14:paraId="3E9F0F6A" w14:textId="6D9711A1" w:rsidR="00D73AC6" w:rsidRPr="00D73AC6" w:rsidRDefault="00D73AC6" w:rsidP="00F332BF">
      <w:pPr>
        <w:spacing w:line="360" w:lineRule="auto"/>
        <w:jc w:val="both"/>
        <w:rPr>
          <w:rFonts w:ascii="Arial" w:hAnsi="Arial" w:cs="Arial"/>
          <w:sz w:val="24"/>
          <w:szCs w:val="24"/>
        </w:rPr>
      </w:pPr>
      <w:r w:rsidRPr="00255892">
        <w:rPr>
          <w:rFonts w:ascii="Arial" w:hAnsi="Arial" w:cs="Arial"/>
          <w:b/>
          <w:sz w:val="24"/>
          <w:szCs w:val="24"/>
        </w:rPr>
        <w:t>b. Contractuales:</w:t>
      </w:r>
      <w:r w:rsidRPr="00255892">
        <w:rPr>
          <w:rFonts w:ascii="Arial" w:hAnsi="Arial" w:cs="Arial"/>
          <w:sz w:val="24"/>
          <w:szCs w:val="24"/>
        </w:rPr>
        <w:t xml:space="preserve"> Se otorgará</w:t>
      </w:r>
      <w:r w:rsidRPr="00D73AC6">
        <w:rPr>
          <w:rFonts w:ascii="Arial" w:hAnsi="Arial" w:cs="Arial"/>
          <w:sz w:val="24"/>
          <w:szCs w:val="24"/>
        </w:rPr>
        <w:t xml:space="preserve"> el máximo puntaje previsto (</w:t>
      </w:r>
      <w:r w:rsidR="005812A9">
        <w:rPr>
          <w:rFonts w:ascii="Arial" w:hAnsi="Arial" w:cs="Arial"/>
          <w:sz w:val="24"/>
          <w:szCs w:val="24"/>
        </w:rPr>
        <w:t>5</w:t>
      </w:r>
      <w:r w:rsidRPr="00D73AC6">
        <w:rPr>
          <w:rFonts w:ascii="Arial" w:hAnsi="Arial" w:cs="Arial"/>
          <w:sz w:val="24"/>
          <w:szCs w:val="24"/>
        </w:rPr>
        <w:t xml:space="preserve"> puntos) a los oferentes con inscripción vigente y renovada en el Registro Único de Proveedores de la Administración Provincial, que no posean antecedentes de incumplimientos contractuales con el organismo contratante (mala experiencia documentada en el organismo) o que no registren sanciones aplicadas por incumplimientos contractuales y/o que no registren penalidades económicas impagas por tales causas, durante los últimos dos años previos a la convocatoria. Los oferentes que, durante este mismo período, no hubieren tenido inscripción vigente y renovada en el Registro Único de Proveedores de la Provincia de Mendoza o que registren antecedentes negativos (incumplimientos </w:t>
      </w:r>
      <w:r w:rsidRPr="00D73AC6">
        <w:rPr>
          <w:rFonts w:ascii="Arial" w:hAnsi="Arial" w:cs="Arial"/>
          <w:sz w:val="24"/>
          <w:szCs w:val="24"/>
        </w:rPr>
        <w:lastRenderedPageBreak/>
        <w:t>contractuales o sanciones y penalidades) serán calificados sin puntaje. Dura</w:t>
      </w:r>
      <w:r>
        <w:rPr>
          <w:rFonts w:ascii="Arial" w:hAnsi="Arial" w:cs="Arial"/>
          <w:sz w:val="24"/>
          <w:szCs w:val="24"/>
        </w:rPr>
        <w:t xml:space="preserve">nte </w:t>
      </w:r>
      <w:r w:rsidRPr="00D73AC6">
        <w:rPr>
          <w:rFonts w:ascii="Arial" w:hAnsi="Arial" w:cs="Arial"/>
          <w:sz w:val="24"/>
          <w:szCs w:val="24"/>
        </w:rPr>
        <w:t xml:space="preserve">un período definido de tiempo previo a la convocatoria; como mínimo durante el último año anterior a dicho acto. </w:t>
      </w:r>
    </w:p>
    <w:p w14:paraId="771F2A53" w14:textId="637B0979" w:rsidR="00D73AC6" w:rsidRPr="00C6707F" w:rsidRDefault="00FC791E" w:rsidP="00F332BF">
      <w:pPr>
        <w:spacing w:line="360" w:lineRule="auto"/>
        <w:jc w:val="both"/>
        <w:rPr>
          <w:rFonts w:ascii="Arial" w:hAnsi="Arial" w:cs="Arial"/>
          <w:b/>
          <w:sz w:val="24"/>
          <w:szCs w:val="24"/>
          <w:u w:val="single"/>
        </w:rPr>
      </w:pPr>
      <w:r>
        <w:rPr>
          <w:rFonts w:ascii="Arial" w:hAnsi="Arial" w:cs="Arial"/>
          <w:b/>
          <w:sz w:val="24"/>
          <w:szCs w:val="24"/>
          <w:u w:val="single"/>
        </w:rPr>
        <w:t>2 - CALIDAD</w:t>
      </w:r>
      <w:r w:rsidR="00C12BCF" w:rsidRPr="00C6707F">
        <w:rPr>
          <w:rFonts w:ascii="Arial" w:hAnsi="Arial" w:cs="Arial"/>
          <w:b/>
          <w:sz w:val="24"/>
          <w:szCs w:val="24"/>
          <w:u w:val="single"/>
        </w:rPr>
        <w:t xml:space="preserve"> TÉCNICA / </w:t>
      </w:r>
      <w:r>
        <w:rPr>
          <w:rFonts w:ascii="Arial" w:hAnsi="Arial" w:cs="Arial"/>
          <w:b/>
          <w:sz w:val="24"/>
          <w:szCs w:val="24"/>
          <w:u w:val="single"/>
        </w:rPr>
        <w:t>INDICADORES DE CALIDAD</w:t>
      </w:r>
      <w:r w:rsidR="00C12BCF" w:rsidRPr="00C6707F">
        <w:rPr>
          <w:rFonts w:ascii="Arial" w:hAnsi="Arial" w:cs="Arial"/>
          <w:b/>
          <w:sz w:val="24"/>
          <w:szCs w:val="24"/>
          <w:u w:val="single"/>
        </w:rPr>
        <w:t>:</w:t>
      </w:r>
      <w:r w:rsidR="00073747" w:rsidRPr="00C6707F">
        <w:rPr>
          <w:rFonts w:ascii="Arial" w:hAnsi="Arial" w:cs="Arial"/>
          <w:b/>
          <w:sz w:val="24"/>
          <w:szCs w:val="24"/>
          <w:u w:val="single"/>
        </w:rPr>
        <w:t xml:space="preserve"> </w:t>
      </w:r>
    </w:p>
    <w:p w14:paraId="01A7A3AC" w14:textId="3493E29B" w:rsidR="00584EFE" w:rsidRDefault="006E7237" w:rsidP="00F332BF">
      <w:pPr>
        <w:spacing w:line="360" w:lineRule="auto"/>
        <w:jc w:val="both"/>
        <w:rPr>
          <w:rFonts w:ascii="Arial" w:hAnsi="Arial" w:cs="Arial"/>
          <w:sz w:val="24"/>
          <w:szCs w:val="24"/>
        </w:rPr>
      </w:pPr>
      <w:r w:rsidRPr="00C6707F">
        <w:rPr>
          <w:rFonts w:ascii="Arial" w:hAnsi="Arial" w:cs="Arial"/>
          <w:sz w:val="24"/>
          <w:szCs w:val="24"/>
        </w:rPr>
        <w:t xml:space="preserve">Se asignará el mayor puntaje </w:t>
      </w:r>
      <w:r w:rsidR="00AF2591">
        <w:rPr>
          <w:rFonts w:ascii="Arial" w:hAnsi="Arial" w:cs="Arial"/>
          <w:sz w:val="24"/>
          <w:szCs w:val="24"/>
        </w:rPr>
        <w:t>(3</w:t>
      </w:r>
      <w:r w:rsidR="00073747" w:rsidRPr="00C6707F">
        <w:rPr>
          <w:rFonts w:ascii="Arial" w:hAnsi="Arial" w:cs="Arial"/>
          <w:sz w:val="24"/>
          <w:szCs w:val="24"/>
        </w:rPr>
        <w:t>5</w:t>
      </w:r>
      <w:r w:rsidRPr="00C6707F">
        <w:rPr>
          <w:rFonts w:ascii="Arial" w:hAnsi="Arial" w:cs="Arial"/>
          <w:sz w:val="24"/>
          <w:szCs w:val="24"/>
        </w:rPr>
        <w:t xml:space="preserve"> puntos) a la oferta que exhiba el mayor y/o mejor nivel de cumplimiento de las condiciones té</w:t>
      </w:r>
      <w:r w:rsidR="00196138">
        <w:rPr>
          <w:rFonts w:ascii="Arial" w:hAnsi="Arial" w:cs="Arial"/>
          <w:sz w:val="24"/>
          <w:szCs w:val="24"/>
        </w:rPr>
        <w:t>cnicas en el producto cotizado. L</w:t>
      </w:r>
      <w:r w:rsidRPr="00C6707F">
        <w:rPr>
          <w:rFonts w:ascii="Arial" w:hAnsi="Arial" w:cs="Arial"/>
          <w:sz w:val="24"/>
          <w:szCs w:val="24"/>
        </w:rPr>
        <w:t>as demás ofertas serán calificadas conforme al criterio de proporcionalidad o bien sin pun</w:t>
      </w:r>
      <w:r w:rsidR="00A442E8">
        <w:rPr>
          <w:rFonts w:ascii="Arial" w:hAnsi="Arial" w:cs="Arial"/>
          <w:sz w:val="24"/>
          <w:szCs w:val="24"/>
        </w:rPr>
        <w:t xml:space="preserve">taje en caso de no alcanzar los </w:t>
      </w:r>
      <w:r w:rsidRPr="00C6707F">
        <w:rPr>
          <w:rFonts w:ascii="Arial" w:hAnsi="Arial" w:cs="Arial"/>
          <w:sz w:val="24"/>
          <w:szCs w:val="24"/>
        </w:rPr>
        <w:t>estándares mínimos y razonables que exija el Pliego de Condiciones Particulares en cada caso.</w:t>
      </w:r>
      <w:r w:rsidR="004E4B1D">
        <w:rPr>
          <w:rFonts w:ascii="Arial" w:hAnsi="Arial" w:cs="Arial"/>
          <w:sz w:val="24"/>
          <w:szCs w:val="24"/>
        </w:rPr>
        <w:t xml:space="preserve"> Para ello se</w:t>
      </w:r>
      <w:r w:rsidR="00196138">
        <w:rPr>
          <w:rFonts w:ascii="Arial" w:hAnsi="Arial" w:cs="Arial"/>
          <w:sz w:val="24"/>
          <w:szCs w:val="24"/>
        </w:rPr>
        <w:t xml:space="preserve"> analizarán los siguientes indicadores:</w:t>
      </w:r>
      <w:r w:rsidR="00DB3749">
        <w:rPr>
          <w:rFonts w:ascii="Arial" w:hAnsi="Arial" w:cs="Arial"/>
          <w:sz w:val="24"/>
          <w:szCs w:val="24"/>
        </w:rPr>
        <w:t xml:space="preserve"> </w:t>
      </w:r>
    </w:p>
    <w:p w14:paraId="5C5883DE" w14:textId="77777777" w:rsidR="00DD14F3" w:rsidRDefault="00DD14F3" w:rsidP="00F332BF">
      <w:pPr>
        <w:spacing w:line="360" w:lineRule="auto"/>
        <w:jc w:val="both"/>
        <w:rPr>
          <w:rFonts w:ascii="Arial" w:hAnsi="Arial" w:cs="Arial"/>
          <w:sz w:val="24"/>
          <w:szCs w:val="24"/>
        </w:rPr>
        <w:sectPr w:rsidR="00DD14F3" w:rsidSect="00444578">
          <w:footerReference w:type="default" r:id="rId7"/>
          <w:type w:val="continuous"/>
          <w:pgSz w:w="11906" w:h="16838"/>
          <w:pgMar w:top="720" w:right="720" w:bottom="720" w:left="720" w:header="708" w:footer="708" w:gutter="0"/>
          <w:cols w:space="708"/>
          <w:docGrid w:linePitch="360"/>
        </w:sectPr>
      </w:pPr>
    </w:p>
    <w:tbl>
      <w:tblPr>
        <w:tblpPr w:leftFromText="141" w:rightFromText="141" w:vertAnchor="text" w:horzAnchor="margin" w:tblpXSpec="center" w:tblpY="230"/>
        <w:tblW w:w="6265" w:type="dxa"/>
        <w:tblCellMar>
          <w:left w:w="70" w:type="dxa"/>
          <w:right w:w="70" w:type="dxa"/>
        </w:tblCellMar>
        <w:tblLook w:val="04A0" w:firstRow="1" w:lastRow="0" w:firstColumn="1" w:lastColumn="0" w:noHBand="0" w:noVBand="1"/>
      </w:tblPr>
      <w:tblGrid>
        <w:gridCol w:w="4673"/>
        <w:gridCol w:w="1592"/>
      </w:tblGrid>
      <w:tr w:rsidR="00DD14F3" w:rsidRPr="00C6707F" w14:paraId="4019B310" w14:textId="77777777" w:rsidTr="00955B5D">
        <w:trPr>
          <w:trHeight w:val="492"/>
        </w:trPr>
        <w:tc>
          <w:tcPr>
            <w:tcW w:w="6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DCC0C" w14:textId="725E92D3" w:rsidR="00DD14F3" w:rsidRPr="00DD14F3" w:rsidRDefault="00444578" w:rsidP="00F332BF">
            <w:pPr>
              <w:spacing w:after="0" w:line="360" w:lineRule="auto"/>
              <w:jc w:val="center"/>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Calidad Técnica / Indicadores de Calidad</w:t>
            </w:r>
          </w:p>
        </w:tc>
      </w:tr>
      <w:tr w:rsidR="00DD14F3" w:rsidRPr="00C6707F" w14:paraId="103795A4"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4F74A53" w14:textId="77777777" w:rsidR="00DD14F3" w:rsidRPr="00DD14F3" w:rsidRDefault="00DD14F3" w:rsidP="00F332BF">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Criterio</w:t>
            </w:r>
          </w:p>
        </w:tc>
        <w:tc>
          <w:tcPr>
            <w:tcW w:w="1592" w:type="dxa"/>
            <w:tcBorders>
              <w:top w:val="nil"/>
              <w:left w:val="nil"/>
              <w:bottom w:val="single" w:sz="4" w:space="0" w:color="auto"/>
              <w:right w:val="single" w:sz="4" w:space="0" w:color="auto"/>
            </w:tcBorders>
            <w:shd w:val="clear" w:color="auto" w:fill="auto"/>
            <w:noWrap/>
            <w:vAlign w:val="center"/>
          </w:tcPr>
          <w:p w14:paraId="0DEB2002" w14:textId="77777777" w:rsidR="00DD14F3" w:rsidRPr="00DD14F3" w:rsidRDefault="00DD14F3" w:rsidP="00F332BF">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Puntaje</w:t>
            </w:r>
          </w:p>
        </w:tc>
      </w:tr>
      <w:tr w:rsidR="00DD14F3" w:rsidRPr="00C6707F" w14:paraId="463FD007"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F746ECC" w14:textId="01F62B14" w:rsidR="00DD14F3" w:rsidRPr="00B61159" w:rsidRDefault="00444578" w:rsidP="00F332BF">
            <w:pPr>
              <w:pStyle w:val="Prrafodelista"/>
              <w:numPr>
                <w:ilvl w:val="0"/>
                <w:numId w:val="14"/>
              </w:numPr>
              <w:spacing w:after="0" w:line="360" w:lineRule="auto"/>
              <w:ind w:left="351" w:hanging="351"/>
              <w:rPr>
                <w:rFonts w:ascii="Arial" w:eastAsia="Times New Roman" w:hAnsi="Arial" w:cs="Arial"/>
                <w:color w:val="000000"/>
                <w:sz w:val="24"/>
                <w:szCs w:val="24"/>
                <w:lang w:eastAsia="es-AR"/>
              </w:rPr>
            </w:pPr>
            <w:r w:rsidRPr="00B61159">
              <w:rPr>
                <w:rFonts w:ascii="Arial" w:eastAsia="Times New Roman" w:hAnsi="Arial" w:cs="Arial"/>
                <w:color w:val="000000"/>
                <w:sz w:val="24"/>
                <w:szCs w:val="24"/>
                <w:lang w:eastAsia="es-AR"/>
              </w:rPr>
              <w:t>Eficiencia en consumo de combustible y relación de potencia / rendimiento</w:t>
            </w:r>
          </w:p>
        </w:tc>
        <w:tc>
          <w:tcPr>
            <w:tcW w:w="1592" w:type="dxa"/>
            <w:tcBorders>
              <w:top w:val="nil"/>
              <w:left w:val="nil"/>
              <w:bottom w:val="single" w:sz="4" w:space="0" w:color="auto"/>
              <w:right w:val="single" w:sz="4" w:space="0" w:color="auto"/>
            </w:tcBorders>
            <w:shd w:val="clear" w:color="auto" w:fill="auto"/>
            <w:noWrap/>
            <w:vAlign w:val="center"/>
          </w:tcPr>
          <w:p w14:paraId="70CB671E" w14:textId="2C85D93C" w:rsidR="00DD14F3" w:rsidRDefault="00955B5D" w:rsidP="00F332BF">
            <w:pPr>
              <w:spacing w:after="0" w:line="36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C6707F" w14:paraId="42488170"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191C6633" w14:textId="50A8DB64" w:rsidR="00DD14F3" w:rsidRPr="00B61159" w:rsidRDefault="00444578" w:rsidP="00F332BF">
            <w:pPr>
              <w:pStyle w:val="Prrafodelista"/>
              <w:numPr>
                <w:ilvl w:val="0"/>
                <w:numId w:val="14"/>
              </w:numPr>
              <w:spacing w:after="0" w:line="360" w:lineRule="auto"/>
              <w:ind w:left="351" w:hanging="351"/>
              <w:rPr>
                <w:rFonts w:ascii="Arial" w:eastAsia="Times New Roman" w:hAnsi="Arial" w:cs="Arial"/>
                <w:color w:val="000000"/>
                <w:sz w:val="24"/>
                <w:szCs w:val="24"/>
                <w:lang w:eastAsia="es-AR"/>
              </w:rPr>
            </w:pPr>
            <w:r w:rsidRPr="00B61159">
              <w:rPr>
                <w:rFonts w:ascii="Arial" w:eastAsia="Times New Roman" w:hAnsi="Arial" w:cs="Arial"/>
                <w:color w:val="000000"/>
                <w:sz w:val="24"/>
                <w:szCs w:val="24"/>
                <w:lang w:eastAsia="es-AR"/>
              </w:rPr>
              <w:t>Costos y bonificaciones de servicios post venta</w:t>
            </w:r>
          </w:p>
        </w:tc>
        <w:tc>
          <w:tcPr>
            <w:tcW w:w="1592" w:type="dxa"/>
            <w:tcBorders>
              <w:top w:val="nil"/>
              <w:left w:val="nil"/>
              <w:bottom w:val="single" w:sz="4" w:space="0" w:color="auto"/>
              <w:right w:val="single" w:sz="4" w:space="0" w:color="auto"/>
            </w:tcBorders>
            <w:shd w:val="clear" w:color="auto" w:fill="auto"/>
            <w:noWrap/>
            <w:vAlign w:val="center"/>
          </w:tcPr>
          <w:p w14:paraId="71897B35" w14:textId="25EB91D0" w:rsidR="00DD14F3" w:rsidRPr="00C6707F" w:rsidRDefault="00955B5D" w:rsidP="00F332BF">
            <w:pPr>
              <w:spacing w:after="0" w:line="36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C6707F" w14:paraId="343F7BD5"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29A6FCA" w14:textId="3AA21F65" w:rsidR="00DD14F3" w:rsidRPr="00B61159" w:rsidRDefault="00444578" w:rsidP="00F332BF">
            <w:pPr>
              <w:pStyle w:val="Prrafodelista"/>
              <w:numPr>
                <w:ilvl w:val="0"/>
                <w:numId w:val="14"/>
              </w:numPr>
              <w:spacing w:after="0" w:line="360" w:lineRule="auto"/>
              <w:ind w:left="351" w:hanging="351"/>
              <w:rPr>
                <w:rFonts w:ascii="Arial" w:eastAsia="Times New Roman" w:hAnsi="Arial" w:cs="Arial"/>
                <w:color w:val="000000"/>
                <w:sz w:val="24"/>
                <w:szCs w:val="24"/>
                <w:lang w:eastAsia="es-AR"/>
              </w:rPr>
            </w:pPr>
            <w:r w:rsidRPr="00B61159">
              <w:rPr>
                <w:rFonts w:ascii="Arial" w:eastAsia="Times New Roman" w:hAnsi="Arial" w:cs="Arial"/>
                <w:color w:val="000000"/>
                <w:sz w:val="24"/>
                <w:szCs w:val="24"/>
                <w:lang w:eastAsia="es-AR"/>
              </w:rPr>
              <w:t>Volumen de carga</w:t>
            </w:r>
          </w:p>
        </w:tc>
        <w:tc>
          <w:tcPr>
            <w:tcW w:w="1592" w:type="dxa"/>
            <w:tcBorders>
              <w:top w:val="nil"/>
              <w:left w:val="nil"/>
              <w:bottom w:val="single" w:sz="4" w:space="0" w:color="auto"/>
              <w:right w:val="single" w:sz="4" w:space="0" w:color="auto"/>
            </w:tcBorders>
            <w:shd w:val="clear" w:color="auto" w:fill="auto"/>
            <w:noWrap/>
            <w:vAlign w:val="center"/>
          </w:tcPr>
          <w:p w14:paraId="29BF8AE0" w14:textId="5945A92F" w:rsidR="00DD14F3" w:rsidRPr="00C6707F" w:rsidRDefault="00955B5D" w:rsidP="00F332BF">
            <w:pPr>
              <w:spacing w:after="0" w:line="36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C6707F" w14:paraId="7CEA46A2"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27E66A9" w14:textId="03866732" w:rsidR="00DD14F3" w:rsidRPr="00B61159" w:rsidRDefault="00955B5D" w:rsidP="00F332BF">
            <w:pPr>
              <w:pStyle w:val="Prrafodelista"/>
              <w:numPr>
                <w:ilvl w:val="0"/>
                <w:numId w:val="14"/>
              </w:numPr>
              <w:spacing w:after="0" w:line="360" w:lineRule="auto"/>
              <w:ind w:left="351" w:hanging="351"/>
              <w:rPr>
                <w:rFonts w:ascii="Arial" w:eastAsia="Times New Roman" w:hAnsi="Arial" w:cs="Arial"/>
                <w:color w:val="000000"/>
                <w:sz w:val="24"/>
                <w:szCs w:val="24"/>
                <w:lang w:eastAsia="es-AR"/>
              </w:rPr>
            </w:pPr>
            <w:r w:rsidRPr="00B61159">
              <w:rPr>
                <w:rFonts w:ascii="Arial" w:eastAsia="Times New Roman" w:hAnsi="Arial" w:cs="Arial"/>
                <w:color w:val="000000"/>
                <w:sz w:val="24"/>
                <w:szCs w:val="24"/>
                <w:lang w:eastAsia="es-AR"/>
              </w:rPr>
              <w:t>Seguridad y eficiencia de frenado</w:t>
            </w:r>
          </w:p>
        </w:tc>
        <w:tc>
          <w:tcPr>
            <w:tcW w:w="1592" w:type="dxa"/>
            <w:tcBorders>
              <w:top w:val="nil"/>
              <w:left w:val="nil"/>
              <w:bottom w:val="single" w:sz="4" w:space="0" w:color="auto"/>
              <w:right w:val="single" w:sz="4" w:space="0" w:color="auto"/>
            </w:tcBorders>
            <w:shd w:val="clear" w:color="auto" w:fill="auto"/>
            <w:noWrap/>
            <w:vAlign w:val="center"/>
          </w:tcPr>
          <w:p w14:paraId="4635116C" w14:textId="60785AFF" w:rsidR="00DD14F3" w:rsidRPr="00C6707F" w:rsidRDefault="00955B5D" w:rsidP="00F332BF">
            <w:pPr>
              <w:spacing w:after="0" w:line="36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C6707F" w14:paraId="4E001AF5"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2A4A2FF" w14:textId="393066AE" w:rsidR="00DD14F3" w:rsidRPr="00B61159" w:rsidRDefault="00955B5D" w:rsidP="00F332BF">
            <w:pPr>
              <w:pStyle w:val="Prrafodelista"/>
              <w:numPr>
                <w:ilvl w:val="0"/>
                <w:numId w:val="14"/>
              </w:numPr>
              <w:spacing w:after="0" w:line="360" w:lineRule="auto"/>
              <w:ind w:left="351" w:hanging="351"/>
              <w:rPr>
                <w:rFonts w:ascii="Arial" w:eastAsia="Times New Roman" w:hAnsi="Arial" w:cs="Arial"/>
                <w:color w:val="000000"/>
                <w:sz w:val="24"/>
                <w:szCs w:val="24"/>
                <w:lang w:eastAsia="es-AR"/>
              </w:rPr>
            </w:pPr>
            <w:r w:rsidRPr="00B61159">
              <w:rPr>
                <w:rFonts w:ascii="Arial" w:eastAsia="Times New Roman" w:hAnsi="Arial" w:cs="Arial"/>
                <w:color w:val="000000"/>
                <w:sz w:val="24"/>
                <w:szCs w:val="24"/>
                <w:lang w:eastAsia="es-AR"/>
              </w:rPr>
              <w:t xml:space="preserve">Medio ambiente, emisión de gases contaminantes </w:t>
            </w:r>
          </w:p>
        </w:tc>
        <w:tc>
          <w:tcPr>
            <w:tcW w:w="1592" w:type="dxa"/>
            <w:tcBorders>
              <w:top w:val="nil"/>
              <w:left w:val="nil"/>
              <w:bottom w:val="single" w:sz="4" w:space="0" w:color="auto"/>
              <w:right w:val="single" w:sz="4" w:space="0" w:color="auto"/>
            </w:tcBorders>
            <w:shd w:val="clear" w:color="auto" w:fill="auto"/>
            <w:noWrap/>
            <w:vAlign w:val="center"/>
          </w:tcPr>
          <w:p w14:paraId="410DEB13" w14:textId="0447CA33" w:rsidR="00DD14F3" w:rsidRPr="00C6707F" w:rsidRDefault="00955B5D" w:rsidP="00F332BF">
            <w:pPr>
              <w:spacing w:after="0" w:line="36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8A5195" w:rsidRPr="00C6707F" w14:paraId="71D640A9"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16FCF239" w14:textId="07FD1357" w:rsidR="008A5195" w:rsidRPr="00B61159" w:rsidRDefault="008A5195" w:rsidP="008A5195">
            <w:pPr>
              <w:pStyle w:val="Prrafodelista"/>
              <w:numPr>
                <w:ilvl w:val="0"/>
                <w:numId w:val="14"/>
              </w:numPr>
              <w:spacing w:after="0" w:line="360" w:lineRule="auto"/>
              <w:ind w:left="351" w:hanging="351"/>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Entrega anticipada</w:t>
            </w:r>
          </w:p>
        </w:tc>
        <w:tc>
          <w:tcPr>
            <w:tcW w:w="1592" w:type="dxa"/>
            <w:tcBorders>
              <w:top w:val="nil"/>
              <w:left w:val="nil"/>
              <w:bottom w:val="single" w:sz="4" w:space="0" w:color="auto"/>
              <w:right w:val="single" w:sz="4" w:space="0" w:color="auto"/>
            </w:tcBorders>
            <w:shd w:val="clear" w:color="auto" w:fill="auto"/>
            <w:noWrap/>
            <w:vAlign w:val="center"/>
          </w:tcPr>
          <w:p w14:paraId="00E52558" w14:textId="65D9C809" w:rsidR="008A5195" w:rsidRDefault="008A5195" w:rsidP="00F332BF">
            <w:pPr>
              <w:spacing w:after="0" w:line="36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8A5195" w:rsidRPr="00C6707F" w14:paraId="5DCB792D" w14:textId="77777777" w:rsidTr="00955B5D">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50797F8" w14:textId="0D35D930" w:rsidR="008A5195" w:rsidRPr="00B61159" w:rsidRDefault="008A5195" w:rsidP="008A5195">
            <w:pPr>
              <w:pStyle w:val="Prrafodelista"/>
              <w:numPr>
                <w:ilvl w:val="0"/>
                <w:numId w:val="14"/>
              </w:numPr>
              <w:spacing w:after="0" w:line="360" w:lineRule="auto"/>
              <w:ind w:left="351" w:hanging="351"/>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G</w:t>
            </w:r>
            <w:r w:rsidRPr="008A5195">
              <w:rPr>
                <w:rFonts w:ascii="Arial" w:eastAsia="Times New Roman" w:hAnsi="Arial" w:cs="Arial"/>
                <w:color w:val="000000"/>
                <w:sz w:val="24"/>
                <w:szCs w:val="24"/>
                <w:lang w:eastAsia="es-AR"/>
              </w:rPr>
              <w:t>arantía extendida</w:t>
            </w:r>
          </w:p>
        </w:tc>
        <w:tc>
          <w:tcPr>
            <w:tcW w:w="1592" w:type="dxa"/>
            <w:tcBorders>
              <w:top w:val="nil"/>
              <w:left w:val="nil"/>
              <w:bottom w:val="single" w:sz="4" w:space="0" w:color="auto"/>
              <w:right w:val="single" w:sz="4" w:space="0" w:color="auto"/>
            </w:tcBorders>
            <w:shd w:val="clear" w:color="auto" w:fill="auto"/>
            <w:noWrap/>
            <w:vAlign w:val="center"/>
          </w:tcPr>
          <w:p w14:paraId="4F5DD544" w14:textId="6EDBEF4D" w:rsidR="008A5195" w:rsidRDefault="008A5195" w:rsidP="00F332BF">
            <w:pPr>
              <w:spacing w:after="0" w:line="36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7F160D" w14:paraId="379D6223" w14:textId="77777777" w:rsidTr="00955B5D">
        <w:trPr>
          <w:trHeight w:val="492"/>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3C5A8E6" w14:textId="77777777" w:rsidR="00DD14F3" w:rsidRPr="00C6707F" w:rsidRDefault="00DD14F3" w:rsidP="00F332BF">
            <w:pPr>
              <w:spacing w:after="0" w:line="360" w:lineRule="auto"/>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Total</w:t>
            </w:r>
          </w:p>
        </w:tc>
        <w:tc>
          <w:tcPr>
            <w:tcW w:w="1592" w:type="dxa"/>
            <w:tcBorders>
              <w:top w:val="nil"/>
              <w:left w:val="nil"/>
              <w:bottom w:val="single" w:sz="4" w:space="0" w:color="auto"/>
              <w:right w:val="single" w:sz="4" w:space="0" w:color="auto"/>
            </w:tcBorders>
            <w:shd w:val="clear" w:color="auto" w:fill="auto"/>
            <w:noWrap/>
            <w:vAlign w:val="center"/>
            <w:hideMark/>
          </w:tcPr>
          <w:p w14:paraId="50ED3880" w14:textId="4E3D2B7A" w:rsidR="00DD14F3" w:rsidRPr="00C6707F" w:rsidRDefault="008A5195" w:rsidP="00F332BF">
            <w:pPr>
              <w:spacing w:after="0" w:line="360" w:lineRule="auto"/>
              <w:jc w:val="center"/>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3</w:t>
            </w:r>
            <w:r w:rsidR="00DD14F3" w:rsidRPr="00C6707F">
              <w:rPr>
                <w:rFonts w:ascii="Arial" w:eastAsia="Times New Roman" w:hAnsi="Arial" w:cs="Arial"/>
                <w:b/>
                <w:color w:val="000000"/>
                <w:sz w:val="24"/>
                <w:szCs w:val="24"/>
                <w:lang w:eastAsia="es-AR"/>
              </w:rPr>
              <w:t>5</w:t>
            </w:r>
          </w:p>
        </w:tc>
      </w:tr>
    </w:tbl>
    <w:p w14:paraId="5E98F247" w14:textId="55E20EA4" w:rsidR="00DD14F3" w:rsidRDefault="00DD14F3" w:rsidP="00F332BF">
      <w:pPr>
        <w:spacing w:line="360" w:lineRule="auto"/>
        <w:jc w:val="both"/>
        <w:rPr>
          <w:rFonts w:ascii="Arial" w:hAnsi="Arial" w:cs="Arial"/>
          <w:sz w:val="24"/>
          <w:szCs w:val="24"/>
        </w:rPr>
      </w:pPr>
    </w:p>
    <w:p w14:paraId="5FC9B195" w14:textId="77777777" w:rsidR="006E7237" w:rsidRPr="00C6707F" w:rsidRDefault="006E7237" w:rsidP="00F332BF">
      <w:pPr>
        <w:spacing w:line="360" w:lineRule="auto"/>
        <w:jc w:val="both"/>
        <w:rPr>
          <w:rFonts w:ascii="Arial" w:hAnsi="Arial" w:cs="Arial"/>
          <w:sz w:val="24"/>
          <w:szCs w:val="24"/>
        </w:rPr>
      </w:pPr>
    </w:p>
    <w:p w14:paraId="69D5363A" w14:textId="77777777" w:rsidR="00DD14F3" w:rsidRDefault="00DD14F3" w:rsidP="00F332BF">
      <w:pPr>
        <w:pStyle w:val="Prrafodelista"/>
        <w:numPr>
          <w:ilvl w:val="0"/>
          <w:numId w:val="8"/>
        </w:numPr>
        <w:spacing w:after="0" w:line="360" w:lineRule="auto"/>
        <w:rPr>
          <w:rFonts w:ascii="Arial" w:eastAsia="Times New Roman" w:hAnsi="Arial" w:cs="Arial"/>
          <w:color w:val="000000"/>
          <w:sz w:val="24"/>
          <w:szCs w:val="24"/>
          <w:lang w:eastAsia="es-AR"/>
        </w:rPr>
        <w:sectPr w:rsidR="00DD14F3" w:rsidSect="00444578">
          <w:type w:val="continuous"/>
          <w:pgSz w:w="11906" w:h="16838"/>
          <w:pgMar w:top="720" w:right="720" w:bottom="720" w:left="720" w:header="708" w:footer="708" w:gutter="0"/>
          <w:cols w:space="708"/>
          <w:docGrid w:linePitch="360"/>
        </w:sectPr>
      </w:pPr>
    </w:p>
    <w:p w14:paraId="2EF2CD5A" w14:textId="77777777" w:rsidR="006F60B9" w:rsidRDefault="006F60B9" w:rsidP="00F332BF">
      <w:pPr>
        <w:spacing w:line="360" w:lineRule="auto"/>
        <w:jc w:val="both"/>
        <w:rPr>
          <w:rFonts w:ascii="Arial" w:hAnsi="Arial" w:cs="Arial"/>
          <w:sz w:val="24"/>
          <w:szCs w:val="24"/>
        </w:rPr>
      </w:pPr>
    </w:p>
    <w:p w14:paraId="33BCC2F3" w14:textId="77777777" w:rsidR="006F60B9" w:rsidRDefault="006F60B9" w:rsidP="00F332BF">
      <w:pPr>
        <w:spacing w:line="360" w:lineRule="auto"/>
        <w:jc w:val="both"/>
        <w:rPr>
          <w:rFonts w:ascii="Arial" w:hAnsi="Arial" w:cs="Arial"/>
          <w:sz w:val="24"/>
          <w:szCs w:val="24"/>
        </w:rPr>
      </w:pPr>
    </w:p>
    <w:p w14:paraId="6B8FA22A" w14:textId="77777777" w:rsidR="006F60B9" w:rsidRDefault="006F60B9" w:rsidP="00F332BF">
      <w:pPr>
        <w:spacing w:line="360" w:lineRule="auto"/>
        <w:jc w:val="both"/>
        <w:rPr>
          <w:rFonts w:ascii="Arial" w:hAnsi="Arial" w:cs="Arial"/>
          <w:sz w:val="24"/>
          <w:szCs w:val="24"/>
        </w:rPr>
      </w:pPr>
    </w:p>
    <w:p w14:paraId="47E71C97" w14:textId="77777777" w:rsidR="00444578" w:rsidRDefault="00444578" w:rsidP="00F332BF">
      <w:pPr>
        <w:spacing w:line="360" w:lineRule="auto"/>
        <w:jc w:val="both"/>
        <w:rPr>
          <w:rFonts w:ascii="Arial" w:hAnsi="Arial" w:cs="Arial"/>
          <w:sz w:val="24"/>
          <w:szCs w:val="24"/>
        </w:rPr>
      </w:pPr>
    </w:p>
    <w:p w14:paraId="0840AABF" w14:textId="77777777" w:rsidR="00444578" w:rsidRDefault="00444578" w:rsidP="00F332BF">
      <w:pPr>
        <w:spacing w:line="360" w:lineRule="auto"/>
        <w:jc w:val="both"/>
        <w:rPr>
          <w:rFonts w:ascii="Arial" w:hAnsi="Arial" w:cs="Arial"/>
          <w:sz w:val="24"/>
          <w:szCs w:val="24"/>
        </w:rPr>
      </w:pPr>
    </w:p>
    <w:p w14:paraId="33E3055A" w14:textId="77777777" w:rsidR="00444578" w:rsidRDefault="00444578" w:rsidP="00F332BF">
      <w:pPr>
        <w:spacing w:line="360" w:lineRule="auto"/>
        <w:jc w:val="both"/>
        <w:rPr>
          <w:rFonts w:ascii="Arial" w:hAnsi="Arial" w:cs="Arial"/>
          <w:sz w:val="24"/>
          <w:szCs w:val="24"/>
        </w:rPr>
      </w:pPr>
    </w:p>
    <w:p w14:paraId="27512EBB" w14:textId="77777777" w:rsidR="00444578" w:rsidRDefault="00444578" w:rsidP="00F332BF">
      <w:pPr>
        <w:spacing w:line="360" w:lineRule="auto"/>
        <w:jc w:val="both"/>
        <w:rPr>
          <w:rFonts w:ascii="Arial" w:hAnsi="Arial" w:cs="Arial"/>
          <w:sz w:val="24"/>
          <w:szCs w:val="24"/>
        </w:rPr>
      </w:pPr>
    </w:p>
    <w:p w14:paraId="1BB9C67B" w14:textId="77777777" w:rsidR="008A5195" w:rsidRDefault="008A5195" w:rsidP="00F332BF">
      <w:pPr>
        <w:spacing w:line="360" w:lineRule="auto"/>
        <w:jc w:val="both"/>
        <w:rPr>
          <w:rFonts w:ascii="Arial" w:hAnsi="Arial" w:cs="Arial"/>
          <w:sz w:val="24"/>
          <w:szCs w:val="24"/>
        </w:rPr>
      </w:pPr>
    </w:p>
    <w:p w14:paraId="41002A62" w14:textId="77777777" w:rsidR="008A5195" w:rsidRDefault="008A5195" w:rsidP="00F332BF">
      <w:pPr>
        <w:spacing w:line="360" w:lineRule="auto"/>
        <w:jc w:val="both"/>
        <w:rPr>
          <w:rFonts w:ascii="Arial" w:hAnsi="Arial" w:cs="Arial"/>
          <w:sz w:val="24"/>
          <w:szCs w:val="24"/>
        </w:rPr>
      </w:pPr>
    </w:p>
    <w:p w14:paraId="707A7806" w14:textId="77777777" w:rsidR="00444578" w:rsidRDefault="00444578" w:rsidP="00F332BF">
      <w:pPr>
        <w:spacing w:line="360" w:lineRule="auto"/>
        <w:jc w:val="both"/>
        <w:rPr>
          <w:rFonts w:ascii="Arial" w:hAnsi="Arial" w:cs="Arial"/>
          <w:sz w:val="24"/>
          <w:szCs w:val="24"/>
        </w:rPr>
      </w:pPr>
    </w:p>
    <w:p w14:paraId="70F83096" w14:textId="7F73AADF" w:rsidR="00196138" w:rsidRPr="00B309B6" w:rsidRDefault="00B309B6" w:rsidP="00F332BF">
      <w:pPr>
        <w:pStyle w:val="Prrafodelista"/>
        <w:numPr>
          <w:ilvl w:val="0"/>
          <w:numId w:val="15"/>
        </w:numPr>
        <w:spacing w:line="360" w:lineRule="auto"/>
        <w:jc w:val="both"/>
        <w:rPr>
          <w:rFonts w:ascii="Arial" w:hAnsi="Arial" w:cs="Arial"/>
          <w:sz w:val="24"/>
          <w:szCs w:val="24"/>
        </w:rPr>
      </w:pPr>
      <w:r w:rsidRPr="00B309B6">
        <w:rPr>
          <w:rFonts w:ascii="Arial" w:hAnsi="Arial" w:cs="Arial"/>
          <w:b/>
          <w:sz w:val="24"/>
          <w:szCs w:val="24"/>
        </w:rPr>
        <w:t>Eficiencia en consumo de combustible y relación de potencia / rendimiento:</w:t>
      </w:r>
      <w:r w:rsidRPr="00B309B6">
        <w:rPr>
          <w:rFonts w:ascii="Arial" w:hAnsi="Arial" w:cs="Arial"/>
          <w:sz w:val="24"/>
          <w:szCs w:val="24"/>
        </w:rPr>
        <w:t xml:space="preserve"> </w:t>
      </w:r>
      <w:r w:rsidR="000045EF" w:rsidRPr="00B309B6">
        <w:rPr>
          <w:rFonts w:ascii="Arial" w:hAnsi="Arial" w:cs="Arial"/>
          <w:sz w:val="24"/>
          <w:szCs w:val="24"/>
        </w:rPr>
        <w:t>Se asignara el máximo puntaje previsto</w:t>
      </w:r>
      <w:r>
        <w:rPr>
          <w:rFonts w:ascii="Arial" w:hAnsi="Arial" w:cs="Arial"/>
          <w:sz w:val="24"/>
          <w:szCs w:val="24"/>
        </w:rPr>
        <w:t xml:space="preserve"> (5 puntos)</w:t>
      </w:r>
      <w:r w:rsidR="000045EF" w:rsidRPr="00B309B6">
        <w:rPr>
          <w:rFonts w:ascii="Arial" w:hAnsi="Arial" w:cs="Arial"/>
          <w:sz w:val="24"/>
          <w:szCs w:val="24"/>
        </w:rPr>
        <w:t xml:space="preserve"> a la oferta que proponga un vehículo con consumo de 8.5 litros cada 100 km o menos; las que tengan un mayor nivel de consumo serán calificadas según el criterio de la proporcionalidad. </w:t>
      </w:r>
    </w:p>
    <w:p w14:paraId="201B94E5" w14:textId="76815224" w:rsidR="00196138" w:rsidRPr="00B309B6" w:rsidRDefault="00B309B6" w:rsidP="00F332BF">
      <w:pPr>
        <w:pStyle w:val="Prrafodelista"/>
        <w:numPr>
          <w:ilvl w:val="0"/>
          <w:numId w:val="15"/>
        </w:numPr>
        <w:spacing w:line="360" w:lineRule="auto"/>
        <w:jc w:val="both"/>
        <w:rPr>
          <w:rFonts w:ascii="Arial" w:hAnsi="Arial" w:cs="Arial"/>
          <w:sz w:val="24"/>
          <w:szCs w:val="24"/>
        </w:rPr>
      </w:pPr>
      <w:r w:rsidRPr="00B309B6">
        <w:rPr>
          <w:rFonts w:ascii="Arial" w:hAnsi="Arial" w:cs="Arial"/>
          <w:b/>
          <w:sz w:val="24"/>
          <w:szCs w:val="24"/>
        </w:rPr>
        <w:t>Costos y bonificaciones de servicios post venta</w:t>
      </w:r>
      <w:r>
        <w:rPr>
          <w:rFonts w:ascii="Arial" w:hAnsi="Arial" w:cs="Arial"/>
          <w:b/>
          <w:sz w:val="24"/>
          <w:szCs w:val="24"/>
        </w:rPr>
        <w:t>:</w:t>
      </w:r>
      <w:r w:rsidRPr="00B309B6">
        <w:rPr>
          <w:rFonts w:ascii="Arial" w:hAnsi="Arial" w:cs="Arial"/>
          <w:sz w:val="24"/>
          <w:szCs w:val="24"/>
        </w:rPr>
        <w:t xml:space="preserve"> </w:t>
      </w:r>
      <w:r w:rsidR="000045EF" w:rsidRPr="00B309B6">
        <w:rPr>
          <w:rFonts w:ascii="Arial" w:hAnsi="Arial" w:cs="Arial"/>
          <w:sz w:val="24"/>
          <w:szCs w:val="24"/>
        </w:rPr>
        <w:t xml:space="preserve">Se otorgara el máximo puntaje </w:t>
      </w:r>
      <w:r>
        <w:rPr>
          <w:rFonts w:ascii="Arial" w:hAnsi="Arial" w:cs="Arial"/>
          <w:sz w:val="24"/>
          <w:szCs w:val="24"/>
        </w:rPr>
        <w:t xml:space="preserve">(5 puntos) </w:t>
      </w:r>
      <w:r w:rsidR="000045EF" w:rsidRPr="00B309B6">
        <w:rPr>
          <w:rFonts w:ascii="Arial" w:hAnsi="Arial" w:cs="Arial"/>
          <w:sz w:val="24"/>
          <w:szCs w:val="24"/>
        </w:rPr>
        <w:t xml:space="preserve">al que cotice el menor costo de los servicios posventa, fuera del primer servicio sin costo para la Repartición, según lo establecido en Cláusulas Especiales, el resto se calificara según el criterio de proporcionalidad. </w:t>
      </w:r>
    </w:p>
    <w:p w14:paraId="55AE292B" w14:textId="08DD49AA" w:rsidR="00196138" w:rsidRPr="00B309B6" w:rsidRDefault="00B309B6" w:rsidP="00F332BF">
      <w:pPr>
        <w:pStyle w:val="Prrafodelista"/>
        <w:numPr>
          <w:ilvl w:val="0"/>
          <w:numId w:val="15"/>
        </w:numPr>
        <w:spacing w:line="360" w:lineRule="auto"/>
        <w:jc w:val="both"/>
        <w:rPr>
          <w:rFonts w:ascii="Arial" w:hAnsi="Arial" w:cs="Arial"/>
          <w:sz w:val="24"/>
          <w:szCs w:val="24"/>
        </w:rPr>
      </w:pPr>
      <w:r w:rsidRPr="00B309B6">
        <w:rPr>
          <w:rFonts w:ascii="Arial" w:hAnsi="Arial" w:cs="Arial"/>
          <w:b/>
          <w:sz w:val="24"/>
          <w:szCs w:val="24"/>
        </w:rPr>
        <w:lastRenderedPageBreak/>
        <w:t>Volumen de carga:</w:t>
      </w:r>
      <w:r>
        <w:rPr>
          <w:rFonts w:ascii="Arial" w:hAnsi="Arial" w:cs="Arial"/>
          <w:sz w:val="24"/>
          <w:szCs w:val="24"/>
        </w:rPr>
        <w:t xml:space="preserve"> </w:t>
      </w:r>
      <w:r w:rsidR="000045EF" w:rsidRPr="00B309B6">
        <w:rPr>
          <w:rFonts w:ascii="Arial" w:hAnsi="Arial" w:cs="Arial"/>
          <w:sz w:val="24"/>
          <w:szCs w:val="24"/>
        </w:rPr>
        <w:t xml:space="preserve">Se otorgara el máximo puntaje </w:t>
      </w:r>
      <w:r w:rsidR="0055033E">
        <w:rPr>
          <w:rFonts w:ascii="Arial" w:hAnsi="Arial" w:cs="Arial"/>
          <w:sz w:val="24"/>
          <w:szCs w:val="24"/>
        </w:rPr>
        <w:t xml:space="preserve">(5 puntos) </w:t>
      </w:r>
      <w:r w:rsidR="000045EF" w:rsidRPr="00B309B6">
        <w:rPr>
          <w:rFonts w:ascii="Arial" w:hAnsi="Arial" w:cs="Arial"/>
          <w:sz w:val="24"/>
          <w:szCs w:val="24"/>
        </w:rPr>
        <w:t>al vehículo que tenga la mayor capacidad de carga, sin incluir las 5 plazas de pasajeros, el resto se calificara según el criterio de proporcionalidad</w:t>
      </w:r>
    </w:p>
    <w:p w14:paraId="0F5A86B2" w14:textId="1C159A06" w:rsidR="00196138" w:rsidRPr="00B309B6" w:rsidRDefault="001359C4" w:rsidP="00F332BF">
      <w:pPr>
        <w:pStyle w:val="Prrafodelista"/>
        <w:numPr>
          <w:ilvl w:val="0"/>
          <w:numId w:val="15"/>
        </w:numPr>
        <w:spacing w:line="360" w:lineRule="auto"/>
        <w:jc w:val="both"/>
        <w:rPr>
          <w:rFonts w:ascii="Arial" w:hAnsi="Arial" w:cs="Arial"/>
          <w:sz w:val="24"/>
          <w:szCs w:val="24"/>
        </w:rPr>
      </w:pPr>
      <w:r w:rsidRPr="001359C4">
        <w:rPr>
          <w:rFonts w:ascii="Arial" w:hAnsi="Arial" w:cs="Arial"/>
          <w:b/>
          <w:sz w:val="24"/>
          <w:szCs w:val="24"/>
        </w:rPr>
        <w:t>Seguridad y eficiencia de frenado:</w:t>
      </w:r>
      <w:r>
        <w:rPr>
          <w:rFonts w:ascii="Arial" w:hAnsi="Arial" w:cs="Arial"/>
          <w:sz w:val="24"/>
          <w:szCs w:val="24"/>
        </w:rPr>
        <w:t xml:space="preserve"> </w:t>
      </w:r>
      <w:r w:rsidR="000045EF" w:rsidRPr="00B309B6">
        <w:rPr>
          <w:rFonts w:ascii="Arial" w:hAnsi="Arial" w:cs="Arial"/>
          <w:sz w:val="24"/>
          <w:szCs w:val="24"/>
        </w:rPr>
        <w:t xml:space="preserve">Se calificara con el mayor puntaje </w:t>
      </w:r>
      <w:r>
        <w:rPr>
          <w:rFonts w:ascii="Arial" w:hAnsi="Arial" w:cs="Arial"/>
          <w:sz w:val="24"/>
          <w:szCs w:val="24"/>
        </w:rPr>
        <w:t xml:space="preserve">(5 puntos) </w:t>
      </w:r>
      <w:r w:rsidR="000045EF" w:rsidRPr="00B309B6">
        <w:rPr>
          <w:rFonts w:ascii="Arial" w:hAnsi="Arial" w:cs="Arial"/>
          <w:sz w:val="24"/>
          <w:szCs w:val="24"/>
        </w:rPr>
        <w:t>al que demuestre la mayor y eficiente seguridad de frenado, las ofertas restantes se calificaran con el criterio de proporcionalidad.</w:t>
      </w:r>
    </w:p>
    <w:p w14:paraId="62C5FD23" w14:textId="77777777" w:rsidR="008A5195" w:rsidRDefault="00155668" w:rsidP="00255892">
      <w:pPr>
        <w:pStyle w:val="Prrafodelista"/>
        <w:numPr>
          <w:ilvl w:val="0"/>
          <w:numId w:val="15"/>
        </w:numPr>
        <w:spacing w:line="360" w:lineRule="auto"/>
        <w:jc w:val="both"/>
        <w:rPr>
          <w:rFonts w:ascii="Arial" w:hAnsi="Arial" w:cs="Arial"/>
          <w:sz w:val="24"/>
          <w:szCs w:val="24"/>
        </w:rPr>
      </w:pPr>
      <w:r w:rsidRPr="00155668">
        <w:rPr>
          <w:rFonts w:ascii="Arial" w:hAnsi="Arial" w:cs="Arial"/>
          <w:b/>
          <w:sz w:val="24"/>
          <w:szCs w:val="24"/>
        </w:rPr>
        <w:t>Medio ambiente, emisión de gases contaminantes:</w:t>
      </w:r>
      <w:r>
        <w:rPr>
          <w:rFonts w:ascii="Arial" w:hAnsi="Arial" w:cs="Arial"/>
          <w:sz w:val="24"/>
          <w:szCs w:val="24"/>
        </w:rPr>
        <w:t xml:space="preserve"> </w:t>
      </w:r>
      <w:r w:rsidR="000045EF" w:rsidRPr="00B309B6">
        <w:rPr>
          <w:rFonts w:ascii="Arial" w:hAnsi="Arial" w:cs="Arial"/>
          <w:sz w:val="24"/>
          <w:szCs w:val="24"/>
        </w:rPr>
        <w:t>Sera calificado con el máximo de la puntuación</w:t>
      </w:r>
      <w:r w:rsidR="0078485C">
        <w:rPr>
          <w:rFonts w:ascii="Arial" w:hAnsi="Arial" w:cs="Arial"/>
          <w:sz w:val="24"/>
          <w:szCs w:val="24"/>
        </w:rPr>
        <w:t xml:space="preserve"> (5 puntos)</w:t>
      </w:r>
      <w:r w:rsidR="000045EF" w:rsidRPr="00B309B6">
        <w:rPr>
          <w:rFonts w:ascii="Arial" w:hAnsi="Arial" w:cs="Arial"/>
          <w:sz w:val="24"/>
          <w:szCs w:val="24"/>
        </w:rPr>
        <w:t xml:space="preserve">, la oferta que demuestre, el menor nivel de contaminación y menos agresividad con el medio ambiente, las restantes ofertas serán puntuadas según la pauta de proporcionalidad. </w:t>
      </w:r>
    </w:p>
    <w:p w14:paraId="2806B4FB" w14:textId="77777777" w:rsidR="008A5195" w:rsidRDefault="008A5195" w:rsidP="00255892">
      <w:pPr>
        <w:pStyle w:val="Prrafodelista"/>
        <w:numPr>
          <w:ilvl w:val="0"/>
          <w:numId w:val="15"/>
        </w:numPr>
        <w:spacing w:line="360" w:lineRule="auto"/>
        <w:jc w:val="both"/>
        <w:rPr>
          <w:rFonts w:ascii="Arial" w:hAnsi="Arial" w:cs="Arial"/>
          <w:sz w:val="24"/>
          <w:szCs w:val="24"/>
        </w:rPr>
      </w:pPr>
      <w:r w:rsidRPr="008A5195">
        <w:rPr>
          <w:rFonts w:ascii="Arial" w:hAnsi="Arial" w:cs="Arial"/>
          <w:b/>
          <w:sz w:val="24"/>
          <w:szCs w:val="24"/>
        </w:rPr>
        <w:t>Entrega anticipada:</w:t>
      </w:r>
      <w:r w:rsidR="00255892" w:rsidRPr="008A5195">
        <w:rPr>
          <w:rFonts w:ascii="Arial" w:hAnsi="Arial" w:cs="Arial"/>
          <w:sz w:val="24"/>
          <w:szCs w:val="24"/>
        </w:rPr>
        <w:t xml:space="preserve"> </w:t>
      </w:r>
      <w:r w:rsidR="000045EF" w:rsidRPr="008A5195">
        <w:rPr>
          <w:rFonts w:ascii="Arial" w:hAnsi="Arial" w:cs="Arial"/>
          <w:sz w:val="24"/>
          <w:szCs w:val="24"/>
        </w:rPr>
        <w:t>S</w:t>
      </w:r>
      <w:r w:rsidR="0078485C" w:rsidRPr="008A5195">
        <w:rPr>
          <w:rFonts w:ascii="Arial" w:hAnsi="Arial" w:cs="Arial"/>
          <w:sz w:val="24"/>
          <w:szCs w:val="24"/>
        </w:rPr>
        <w:t>e otorgará el máximo puntaje (5</w:t>
      </w:r>
      <w:r w:rsidR="000045EF" w:rsidRPr="008A5195">
        <w:rPr>
          <w:rFonts w:ascii="Arial" w:hAnsi="Arial" w:cs="Arial"/>
          <w:sz w:val="24"/>
          <w:szCs w:val="24"/>
        </w:rPr>
        <w:t xml:space="preserve"> puntos) al oferente que proponga el menor plazo de entrega dentro del requerido en el presente pliego de contratación. El orden de mérito para las demás ofertas se determinará conforme la regla de proporcionalidad.</w:t>
      </w:r>
    </w:p>
    <w:p w14:paraId="6CF16DAD" w14:textId="2459CD63" w:rsidR="000045EF" w:rsidRPr="008A5195" w:rsidRDefault="008A5195" w:rsidP="00255892">
      <w:pPr>
        <w:pStyle w:val="Prrafodelista"/>
        <w:numPr>
          <w:ilvl w:val="0"/>
          <w:numId w:val="15"/>
        </w:numPr>
        <w:spacing w:line="360" w:lineRule="auto"/>
        <w:jc w:val="both"/>
        <w:rPr>
          <w:rFonts w:ascii="Arial" w:hAnsi="Arial" w:cs="Arial"/>
          <w:sz w:val="24"/>
          <w:szCs w:val="24"/>
        </w:rPr>
      </w:pPr>
      <w:r w:rsidRPr="008A5195">
        <w:rPr>
          <w:rFonts w:ascii="Arial" w:hAnsi="Arial" w:cs="Arial"/>
          <w:b/>
          <w:sz w:val="24"/>
          <w:szCs w:val="24"/>
        </w:rPr>
        <w:t xml:space="preserve">Garantía extendida: </w:t>
      </w:r>
      <w:r w:rsidR="000045EF" w:rsidRPr="008A5195">
        <w:rPr>
          <w:rFonts w:ascii="Arial" w:hAnsi="Arial" w:cs="Arial"/>
          <w:sz w:val="24"/>
          <w:szCs w:val="24"/>
        </w:rPr>
        <w:t>Se asignará el máximo puntaje</w:t>
      </w:r>
      <w:r w:rsidR="007B3E71" w:rsidRPr="008A5195">
        <w:rPr>
          <w:rFonts w:ascii="Arial" w:hAnsi="Arial" w:cs="Arial"/>
          <w:sz w:val="24"/>
          <w:szCs w:val="24"/>
        </w:rPr>
        <w:t xml:space="preserve"> (5 puntos)</w:t>
      </w:r>
      <w:r w:rsidR="000045EF" w:rsidRPr="008A5195">
        <w:rPr>
          <w:rFonts w:ascii="Arial" w:hAnsi="Arial" w:cs="Arial"/>
          <w:sz w:val="24"/>
          <w:szCs w:val="24"/>
        </w:rPr>
        <w:t xml:space="preserve"> a la oferta que brinde la mayor garantía extendida, el resto se calificara según el criterio de proporcionalidad.</w:t>
      </w:r>
    </w:p>
    <w:p w14:paraId="57AE962A" w14:textId="6513C55F" w:rsidR="00D73AC6" w:rsidRDefault="00AF2591" w:rsidP="00F332BF">
      <w:pPr>
        <w:pStyle w:val="Subttulo"/>
        <w:tabs>
          <w:tab w:val="left" w:pos="0"/>
        </w:tabs>
        <w:spacing w:after="240" w:line="360" w:lineRule="auto"/>
        <w:rPr>
          <w:rFonts w:ascii="Arial" w:eastAsiaTheme="minorHAnsi" w:hAnsi="Arial" w:cs="Arial"/>
          <w:b/>
          <w:i w:val="0"/>
          <w:iCs/>
          <w:u w:val="single"/>
          <w:lang w:eastAsia="en-US"/>
        </w:rPr>
      </w:pPr>
      <w:r>
        <w:rPr>
          <w:rFonts w:ascii="Arial" w:eastAsiaTheme="minorHAnsi" w:hAnsi="Arial" w:cs="Arial"/>
          <w:b/>
          <w:i w:val="0"/>
          <w:iCs/>
          <w:u w:val="single"/>
          <w:lang w:eastAsia="en-US"/>
        </w:rPr>
        <w:t>3</w:t>
      </w:r>
      <w:r w:rsidR="00584EFE">
        <w:rPr>
          <w:rFonts w:ascii="Arial" w:eastAsiaTheme="minorHAnsi" w:hAnsi="Arial" w:cs="Arial"/>
          <w:b/>
          <w:i w:val="0"/>
          <w:iCs/>
          <w:u w:val="single"/>
          <w:lang w:eastAsia="en-US"/>
        </w:rPr>
        <w:t xml:space="preserve"> - </w:t>
      </w:r>
      <w:r w:rsidR="00D73AC6" w:rsidRPr="00D1192C">
        <w:rPr>
          <w:rFonts w:ascii="Arial" w:eastAsiaTheme="minorHAnsi" w:hAnsi="Arial" w:cs="Arial"/>
          <w:b/>
          <w:i w:val="0"/>
          <w:iCs/>
          <w:u w:val="single"/>
          <w:lang w:eastAsia="en-US"/>
        </w:rPr>
        <w:t>ACREDITACIÓN DE OBJETIVOS DE DESARROLLO SOSTENIBLE (S/LEY 9193)</w:t>
      </w:r>
    </w:p>
    <w:p w14:paraId="5FC3BED2" w14:textId="77777777" w:rsidR="00D127EE" w:rsidRPr="00D127EE" w:rsidRDefault="00D127EE" w:rsidP="00F332BF">
      <w:pPr>
        <w:spacing w:before="2" w:after="0" w:line="360" w:lineRule="auto"/>
        <w:jc w:val="both"/>
        <w:rPr>
          <w:rFonts w:ascii="Arial" w:eastAsia="Times New Roman" w:hAnsi="Arial" w:cs="Arial"/>
          <w:sz w:val="24"/>
          <w:szCs w:val="24"/>
          <w:lang w:eastAsia="es-AR"/>
        </w:rPr>
      </w:pPr>
      <w:r w:rsidRPr="00D127EE">
        <w:rPr>
          <w:rFonts w:ascii="Arial" w:eastAsia="Times New Roman" w:hAnsi="Arial" w:cs="Arial"/>
          <w:color w:val="000000"/>
          <w:sz w:val="24"/>
          <w:szCs w:val="24"/>
          <w:lang w:eastAsia="es-AR"/>
        </w:rPr>
        <w:t xml:space="preserve">Para el presente Acuerdo Marco, se considera relevante la evaluación del desempeño empresario de los oferentes, a la luz de las metas de los Objetivos de Desarrollo Sostenible del Pacto Global de las Naciones Unidas (ver  </w:t>
      </w:r>
      <w:hyperlink r:id="rId8" w:history="1">
        <w:r w:rsidRPr="00D127EE">
          <w:rPr>
            <w:rFonts w:ascii="Arial" w:eastAsia="Times New Roman" w:hAnsi="Arial" w:cs="Arial"/>
            <w:color w:val="0000FF"/>
            <w:sz w:val="24"/>
            <w:szCs w:val="24"/>
            <w:u w:val="single"/>
            <w:lang w:eastAsia="es-AR"/>
          </w:rPr>
          <w:t>https://www.un.org/sustainabledevelopment/es/objetivos-de-desarrollo-sostenible/</w:t>
        </w:r>
      </w:hyperlink>
      <w:r w:rsidRPr="00D127EE">
        <w:rPr>
          <w:rFonts w:ascii="Arial" w:eastAsia="Times New Roman" w:hAnsi="Arial" w:cs="Arial"/>
          <w:color w:val="000000"/>
          <w:sz w:val="24"/>
          <w:szCs w:val="24"/>
          <w:lang w:eastAsia="es-AR"/>
        </w:rPr>
        <w:t>).</w:t>
      </w:r>
    </w:p>
    <w:p w14:paraId="737C57E7" w14:textId="77777777" w:rsidR="00D127EE" w:rsidRPr="00D127EE" w:rsidRDefault="00D127EE" w:rsidP="00F332BF">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9"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xml:space="preserve">). A este efecto, se informan los siguientes ponderadores de calificación del desempeño empresario sustentable, adoptados por la Guía Elemental del Programa de Compras Sustentables de la Administración Provincial (ver: </w:t>
      </w:r>
      <w:hyperlink r:id="rId10"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w:t>
      </w:r>
    </w:p>
    <w:p w14:paraId="04451C0D" w14:textId="77777777" w:rsidR="00D127EE" w:rsidRPr="00D127EE" w:rsidRDefault="00D127EE" w:rsidP="00F332BF">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 xml:space="preserve">1)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w:t>
      </w:r>
      <w:r w:rsidRPr="00D127EE">
        <w:rPr>
          <w:rFonts w:ascii="Arial" w:eastAsia="Times New Roman" w:hAnsi="Arial" w:cs="Arial"/>
          <w:color w:val="000000"/>
          <w:sz w:val="24"/>
          <w:szCs w:val="24"/>
          <w:lang w:eastAsia="es-AR"/>
        </w:rPr>
        <w:lastRenderedPageBreak/>
        <w:t>calificarse con hasta dos (2) puntos teniendo en consideración elementos tales como la visión, los valores, los compromisos y las reglas de la organización y los objetivos y metas claves descriptas en un plan de trabajo básico.</w:t>
      </w:r>
    </w:p>
    <w:p w14:paraId="6A51DE2F" w14:textId="77777777" w:rsidR="00D127EE" w:rsidRPr="00D127EE" w:rsidRDefault="00D127EE" w:rsidP="00F332BF">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2)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w:t>
      </w:r>
    </w:p>
    <w:p w14:paraId="61C5AB81" w14:textId="77777777" w:rsidR="00D127EE" w:rsidRDefault="00D127EE" w:rsidP="00F332BF">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3)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14:paraId="14995C9F" w14:textId="77777777" w:rsidR="007E417A" w:rsidRPr="00D127EE" w:rsidRDefault="007E417A" w:rsidP="00F332BF">
      <w:pPr>
        <w:spacing w:before="2" w:after="0" w:line="360" w:lineRule="auto"/>
        <w:jc w:val="both"/>
        <w:rPr>
          <w:rFonts w:ascii="Arial" w:eastAsia="Times New Roman" w:hAnsi="Arial" w:cs="Arial"/>
          <w:color w:val="000000"/>
          <w:sz w:val="24"/>
          <w:szCs w:val="24"/>
          <w:lang w:eastAsia="es-AR"/>
        </w:rPr>
      </w:pPr>
    </w:p>
    <w:p w14:paraId="09B94F0B" w14:textId="6E2DFFAF" w:rsidR="00D73AC6" w:rsidRDefault="00AF2591" w:rsidP="00F332BF">
      <w:pPr>
        <w:spacing w:line="360" w:lineRule="auto"/>
        <w:jc w:val="both"/>
        <w:rPr>
          <w:rFonts w:ascii="Arial" w:hAnsi="Arial" w:cs="Arial"/>
          <w:b/>
          <w:sz w:val="24"/>
          <w:szCs w:val="24"/>
        </w:rPr>
      </w:pPr>
      <w:r>
        <w:rPr>
          <w:rFonts w:ascii="Arial" w:hAnsi="Arial" w:cs="Arial"/>
          <w:b/>
          <w:sz w:val="24"/>
          <w:szCs w:val="24"/>
          <w:u w:val="single"/>
        </w:rPr>
        <w:t>4</w:t>
      </w:r>
      <w:r w:rsidR="006905D4">
        <w:rPr>
          <w:rFonts w:ascii="Arial" w:hAnsi="Arial" w:cs="Arial"/>
          <w:b/>
          <w:sz w:val="24"/>
          <w:szCs w:val="24"/>
          <w:u w:val="single"/>
        </w:rPr>
        <w:t xml:space="preserve"> - </w:t>
      </w:r>
      <w:r w:rsidR="00D73AC6" w:rsidRPr="00584EFE">
        <w:rPr>
          <w:rFonts w:ascii="Arial" w:hAnsi="Arial" w:cs="Arial"/>
          <w:b/>
          <w:sz w:val="24"/>
          <w:szCs w:val="24"/>
          <w:u w:val="single"/>
        </w:rPr>
        <w:t>OFERTA ECONÓMICA</w:t>
      </w:r>
      <w:r w:rsidR="00D73AC6" w:rsidRPr="00584EFE">
        <w:rPr>
          <w:rFonts w:ascii="Arial" w:hAnsi="Arial" w:cs="Arial"/>
          <w:b/>
          <w:sz w:val="24"/>
          <w:szCs w:val="24"/>
        </w:rPr>
        <w:t xml:space="preserve"> </w:t>
      </w:r>
    </w:p>
    <w:p w14:paraId="251A0A60" w14:textId="77777777" w:rsidR="00121075" w:rsidRPr="00121075" w:rsidRDefault="00121075" w:rsidP="00F332BF">
      <w:pPr>
        <w:pStyle w:val="Normal1"/>
        <w:pBdr>
          <w:top w:val="nil"/>
          <w:left w:val="nil"/>
          <w:bottom w:val="nil"/>
          <w:right w:val="nil"/>
          <w:between w:val="nil"/>
        </w:pBdr>
        <w:tabs>
          <w:tab w:val="left" w:pos="851"/>
        </w:tabs>
        <w:spacing w:line="360" w:lineRule="auto"/>
        <w:jc w:val="both"/>
        <w:rPr>
          <w:rFonts w:ascii="Arial" w:hAnsi="Arial" w:cs="Arial"/>
          <w:color w:val="000000"/>
          <w:lang w:eastAsia="es-AR"/>
        </w:rPr>
      </w:pPr>
      <w:r w:rsidRPr="00121075">
        <w:rPr>
          <w:rFonts w:ascii="Arial" w:hAnsi="Arial" w:cs="Arial"/>
          <w:color w:val="000000"/>
          <w:lang w:eastAsia="es-AR"/>
        </w:rPr>
        <w:t>Para este rubro se asignará el mayor puntaje (</w:t>
      </w:r>
      <w:r w:rsidR="00D5364B">
        <w:rPr>
          <w:rFonts w:ascii="Arial" w:hAnsi="Arial" w:cs="Arial"/>
          <w:color w:val="000000"/>
          <w:lang w:eastAsia="es-AR"/>
        </w:rPr>
        <w:t>4</w:t>
      </w:r>
      <w:r w:rsidRPr="00121075">
        <w:rPr>
          <w:rFonts w:ascii="Arial" w:hAnsi="Arial" w:cs="Arial"/>
          <w:color w:val="000000"/>
          <w:lang w:eastAsia="es-AR"/>
        </w:rPr>
        <w:t xml:space="preserve">0 puntos) a la oferta que, siendo formal y técnicamente admisible, resulte ser la de menor precio. Las demás serán puntuadas conforme la regla de proporcionalidad. </w:t>
      </w:r>
    </w:p>
    <w:p w14:paraId="730CD33F" w14:textId="77777777" w:rsidR="006905D4" w:rsidRDefault="00121075" w:rsidP="00F332BF">
      <w:pPr>
        <w:spacing w:line="360" w:lineRule="auto"/>
        <w:jc w:val="both"/>
        <w:rPr>
          <w:rFonts w:ascii="Arial" w:eastAsia="Times New Roman" w:hAnsi="Arial" w:cs="Arial"/>
          <w:color w:val="000000"/>
          <w:sz w:val="24"/>
          <w:szCs w:val="24"/>
          <w:lang w:eastAsia="es-AR"/>
        </w:rPr>
      </w:pPr>
      <w:r w:rsidRPr="00121075">
        <w:rPr>
          <w:rFonts w:ascii="Arial" w:eastAsia="Times New Roman" w:hAnsi="Arial" w:cs="Arial"/>
          <w:color w:val="000000"/>
          <w:sz w:val="24"/>
          <w:szCs w:val="24"/>
          <w:lang w:eastAsia="es-AR"/>
        </w:rPr>
        <w:t xml:space="preserve">Por regla, </w:t>
      </w:r>
      <w:r w:rsidR="00D5364B">
        <w:rPr>
          <w:rFonts w:ascii="Arial" w:eastAsia="Times New Roman" w:hAnsi="Arial" w:cs="Arial"/>
          <w:color w:val="000000"/>
          <w:sz w:val="24"/>
          <w:szCs w:val="24"/>
          <w:lang w:eastAsia="es-AR"/>
        </w:rPr>
        <w:t>las ofertas que no superen los 3</w:t>
      </w:r>
      <w:r w:rsidRPr="00121075">
        <w:rPr>
          <w:rFonts w:ascii="Arial" w:eastAsia="Times New Roman" w:hAnsi="Arial" w:cs="Arial"/>
          <w:color w:val="000000"/>
          <w:sz w:val="24"/>
          <w:szCs w:val="24"/>
          <w:lang w:eastAsia="es-AR"/>
        </w:rPr>
        <w:t>0 puntos serán desestimadas por inconvenientes. La Administración licitante, en virtud de razones fundadas, podrá valorar como conveniente a una oferta determinada, en caso de que la misma no alcanzare el mínimo establecido</w:t>
      </w:r>
    </w:p>
    <w:p w14:paraId="4E1117F0" w14:textId="77777777" w:rsidR="00121075" w:rsidRPr="00121075" w:rsidRDefault="00121075" w:rsidP="00F332BF">
      <w:pPr>
        <w:spacing w:line="360" w:lineRule="auto"/>
        <w:jc w:val="both"/>
        <w:rPr>
          <w:rFonts w:ascii="Arial" w:eastAsia="Times New Roman" w:hAnsi="Arial" w:cs="Arial"/>
          <w:color w:val="000000"/>
          <w:sz w:val="24"/>
          <w:szCs w:val="24"/>
          <w:lang w:eastAsia="es-AR"/>
        </w:rPr>
      </w:pPr>
    </w:p>
    <w:p w14:paraId="00D03C5D" w14:textId="77777777" w:rsidR="00D73AC6" w:rsidRPr="00D1192C" w:rsidRDefault="00D73AC6" w:rsidP="00F332BF">
      <w:pPr>
        <w:autoSpaceDE w:val="0"/>
        <w:autoSpaceDN w:val="0"/>
        <w:adjustRightInd w:val="0"/>
        <w:spacing w:after="0" w:line="360" w:lineRule="auto"/>
        <w:jc w:val="both"/>
        <w:rPr>
          <w:rFonts w:ascii="Arial" w:hAnsi="Arial" w:cs="Arial"/>
          <w:b/>
          <w:sz w:val="24"/>
          <w:szCs w:val="24"/>
        </w:rPr>
      </w:pPr>
      <w:r w:rsidRPr="00D1192C">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4FA87E05" w14:textId="77777777" w:rsidR="00D1354D" w:rsidRDefault="00095FD1" w:rsidP="00F332BF">
      <w:pPr>
        <w:spacing w:line="360" w:lineRule="auto"/>
      </w:pPr>
    </w:p>
    <w:sectPr w:rsidR="00D1354D" w:rsidSect="00DD14F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662AE" w14:textId="77777777" w:rsidR="00095FD1" w:rsidRDefault="00095FD1" w:rsidP="00F14193">
      <w:pPr>
        <w:spacing w:after="0" w:line="240" w:lineRule="auto"/>
      </w:pPr>
      <w:r>
        <w:separator/>
      </w:r>
    </w:p>
  </w:endnote>
  <w:endnote w:type="continuationSeparator" w:id="0">
    <w:p w14:paraId="1C3F35E1" w14:textId="77777777" w:rsidR="00095FD1" w:rsidRDefault="00095FD1" w:rsidP="00F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8644"/>
      <w:docPartObj>
        <w:docPartGallery w:val="Page Numbers (Bottom of Page)"/>
        <w:docPartUnique/>
      </w:docPartObj>
    </w:sdtPr>
    <w:sdtEndPr>
      <w:rPr>
        <w:sz w:val="20"/>
        <w:szCs w:val="20"/>
      </w:rPr>
    </w:sdtEndPr>
    <w:sdtContent>
      <w:p w14:paraId="29C7B50D" w14:textId="77777777" w:rsidR="00F14193" w:rsidRPr="00900C13" w:rsidRDefault="00F14193" w:rsidP="00F14193">
        <w:pPr>
          <w:pStyle w:val="Piedepgina"/>
          <w:jc w:val="right"/>
          <w:rPr>
            <w:sz w:val="20"/>
            <w:szCs w:val="20"/>
          </w:rPr>
        </w:pPr>
        <w:r>
          <w:tab/>
        </w:r>
        <w:r>
          <w:tab/>
        </w:r>
        <w:r w:rsidRPr="00900C13">
          <w:rPr>
            <w:sz w:val="20"/>
            <w:szCs w:val="20"/>
          </w:rPr>
          <w:t>Versi</w:t>
        </w:r>
        <w:r>
          <w:rPr>
            <w:sz w:val="20"/>
            <w:szCs w:val="20"/>
          </w:rPr>
          <w:t>ón: Enero 2022</w:t>
        </w:r>
      </w:p>
    </w:sdtContent>
  </w:sdt>
  <w:p w14:paraId="6D798983" w14:textId="77777777" w:rsidR="00F14193" w:rsidRDefault="00F14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F060" w14:textId="77777777" w:rsidR="00095FD1" w:rsidRDefault="00095FD1" w:rsidP="00F14193">
      <w:pPr>
        <w:spacing w:after="0" w:line="240" w:lineRule="auto"/>
      </w:pPr>
      <w:r>
        <w:separator/>
      </w:r>
    </w:p>
  </w:footnote>
  <w:footnote w:type="continuationSeparator" w:id="0">
    <w:p w14:paraId="29B2B638" w14:textId="77777777" w:rsidR="00095FD1" w:rsidRDefault="00095FD1" w:rsidP="00F1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0FB"/>
    <w:multiLevelType w:val="multilevel"/>
    <w:tmpl w:val="C22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E417A"/>
    <w:multiLevelType w:val="hybridMultilevel"/>
    <w:tmpl w:val="B1581BCE"/>
    <w:lvl w:ilvl="0" w:tplc="2A0EAB72">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6D2E3D"/>
    <w:multiLevelType w:val="hybridMultilevel"/>
    <w:tmpl w:val="B484C054"/>
    <w:lvl w:ilvl="0" w:tplc="C4DE118E">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D45ECB"/>
    <w:multiLevelType w:val="hybridMultilevel"/>
    <w:tmpl w:val="0C4067BE"/>
    <w:lvl w:ilvl="0" w:tplc="F8E4CCB0">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44C0600"/>
    <w:multiLevelType w:val="hybridMultilevel"/>
    <w:tmpl w:val="68506578"/>
    <w:lvl w:ilvl="0" w:tplc="9154E6E4">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92E4A3F"/>
    <w:multiLevelType w:val="hybridMultilevel"/>
    <w:tmpl w:val="12DA7870"/>
    <w:lvl w:ilvl="0" w:tplc="C0A0540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47A51EF"/>
    <w:multiLevelType w:val="hybridMultilevel"/>
    <w:tmpl w:val="D1EAB4B2"/>
    <w:lvl w:ilvl="0" w:tplc="94449AFE">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8F73A03"/>
    <w:multiLevelType w:val="hybridMultilevel"/>
    <w:tmpl w:val="A57E3F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73B0C0E"/>
    <w:multiLevelType w:val="hybridMultilevel"/>
    <w:tmpl w:val="514C4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9926390"/>
    <w:multiLevelType w:val="hybridMultilevel"/>
    <w:tmpl w:val="9DAA1B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DF2289E"/>
    <w:multiLevelType w:val="hybridMultilevel"/>
    <w:tmpl w:val="C9A2E5AA"/>
    <w:lvl w:ilvl="0" w:tplc="2C0A0019">
      <w:start w:val="1"/>
      <w:numFmt w:val="lowerLetter"/>
      <w:lvlText w:val="%1."/>
      <w:lvlJc w:val="left"/>
      <w:pPr>
        <w:ind w:left="787" w:hanging="360"/>
      </w:pPr>
    </w:lvl>
    <w:lvl w:ilvl="1" w:tplc="2C0A0019" w:tentative="1">
      <w:start w:val="1"/>
      <w:numFmt w:val="lowerLetter"/>
      <w:lvlText w:val="%2."/>
      <w:lvlJc w:val="left"/>
      <w:pPr>
        <w:ind w:left="1507" w:hanging="360"/>
      </w:pPr>
    </w:lvl>
    <w:lvl w:ilvl="2" w:tplc="2C0A001B" w:tentative="1">
      <w:start w:val="1"/>
      <w:numFmt w:val="lowerRoman"/>
      <w:lvlText w:val="%3."/>
      <w:lvlJc w:val="right"/>
      <w:pPr>
        <w:ind w:left="2227" w:hanging="180"/>
      </w:pPr>
    </w:lvl>
    <w:lvl w:ilvl="3" w:tplc="2C0A000F" w:tentative="1">
      <w:start w:val="1"/>
      <w:numFmt w:val="decimal"/>
      <w:lvlText w:val="%4."/>
      <w:lvlJc w:val="left"/>
      <w:pPr>
        <w:ind w:left="2947" w:hanging="360"/>
      </w:pPr>
    </w:lvl>
    <w:lvl w:ilvl="4" w:tplc="2C0A0019" w:tentative="1">
      <w:start w:val="1"/>
      <w:numFmt w:val="lowerLetter"/>
      <w:lvlText w:val="%5."/>
      <w:lvlJc w:val="left"/>
      <w:pPr>
        <w:ind w:left="3667" w:hanging="360"/>
      </w:pPr>
    </w:lvl>
    <w:lvl w:ilvl="5" w:tplc="2C0A001B" w:tentative="1">
      <w:start w:val="1"/>
      <w:numFmt w:val="lowerRoman"/>
      <w:lvlText w:val="%6."/>
      <w:lvlJc w:val="right"/>
      <w:pPr>
        <w:ind w:left="4387" w:hanging="180"/>
      </w:pPr>
    </w:lvl>
    <w:lvl w:ilvl="6" w:tplc="2C0A000F" w:tentative="1">
      <w:start w:val="1"/>
      <w:numFmt w:val="decimal"/>
      <w:lvlText w:val="%7."/>
      <w:lvlJc w:val="left"/>
      <w:pPr>
        <w:ind w:left="5107" w:hanging="360"/>
      </w:pPr>
    </w:lvl>
    <w:lvl w:ilvl="7" w:tplc="2C0A0019" w:tentative="1">
      <w:start w:val="1"/>
      <w:numFmt w:val="lowerLetter"/>
      <w:lvlText w:val="%8."/>
      <w:lvlJc w:val="left"/>
      <w:pPr>
        <w:ind w:left="5827" w:hanging="360"/>
      </w:pPr>
    </w:lvl>
    <w:lvl w:ilvl="8" w:tplc="2C0A001B" w:tentative="1">
      <w:start w:val="1"/>
      <w:numFmt w:val="lowerRoman"/>
      <w:lvlText w:val="%9."/>
      <w:lvlJc w:val="right"/>
      <w:pPr>
        <w:ind w:left="6547" w:hanging="180"/>
      </w:pPr>
    </w:lvl>
  </w:abstractNum>
  <w:abstractNum w:abstractNumId="13" w15:restartNumberingAfterBreak="0">
    <w:nsid w:val="6E4B0616"/>
    <w:multiLevelType w:val="hybridMultilevel"/>
    <w:tmpl w:val="ED7E9D04"/>
    <w:lvl w:ilvl="0" w:tplc="5B9258AA">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50503D7"/>
    <w:multiLevelType w:val="hybridMultilevel"/>
    <w:tmpl w:val="F1E8F7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3"/>
  </w:num>
  <w:num w:numId="6">
    <w:abstractNumId w:val="2"/>
  </w:num>
  <w:num w:numId="7">
    <w:abstractNumId w:val="13"/>
  </w:num>
  <w:num w:numId="8">
    <w:abstractNumId w:val="10"/>
  </w:num>
  <w:num w:numId="9">
    <w:abstractNumId w:val="9"/>
  </w:num>
  <w:num w:numId="10">
    <w:abstractNumId w:val="14"/>
  </w:num>
  <w:num w:numId="11">
    <w:abstractNumId w:val="0"/>
  </w:num>
  <w:num w:numId="12">
    <w:abstractNumId w:val="11"/>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6"/>
    <w:rsid w:val="00000441"/>
    <w:rsid w:val="000045EF"/>
    <w:rsid w:val="00056D18"/>
    <w:rsid w:val="00066F0F"/>
    <w:rsid w:val="00073747"/>
    <w:rsid w:val="00095FD1"/>
    <w:rsid w:val="000C43D5"/>
    <w:rsid w:val="00121075"/>
    <w:rsid w:val="001359C4"/>
    <w:rsid w:val="00155668"/>
    <w:rsid w:val="001874DC"/>
    <w:rsid w:val="00196138"/>
    <w:rsid w:val="001C2141"/>
    <w:rsid w:val="002402D6"/>
    <w:rsid w:val="00255892"/>
    <w:rsid w:val="00267525"/>
    <w:rsid w:val="003530D4"/>
    <w:rsid w:val="003E4E0C"/>
    <w:rsid w:val="00444578"/>
    <w:rsid w:val="00476820"/>
    <w:rsid w:val="004D0F5E"/>
    <w:rsid w:val="004D266D"/>
    <w:rsid w:val="004E4B1D"/>
    <w:rsid w:val="004F1852"/>
    <w:rsid w:val="00533C06"/>
    <w:rsid w:val="0055033E"/>
    <w:rsid w:val="005812A9"/>
    <w:rsid w:val="00582CBD"/>
    <w:rsid w:val="00584EFE"/>
    <w:rsid w:val="0062406E"/>
    <w:rsid w:val="00674B70"/>
    <w:rsid w:val="006905D4"/>
    <w:rsid w:val="006A092D"/>
    <w:rsid w:val="006E11A4"/>
    <w:rsid w:val="006E7237"/>
    <w:rsid w:val="006F60B9"/>
    <w:rsid w:val="00701796"/>
    <w:rsid w:val="007564E4"/>
    <w:rsid w:val="00771992"/>
    <w:rsid w:val="0078485C"/>
    <w:rsid w:val="007B3E71"/>
    <w:rsid w:val="007E2F9E"/>
    <w:rsid w:val="007E417A"/>
    <w:rsid w:val="007F160D"/>
    <w:rsid w:val="00802CF6"/>
    <w:rsid w:val="00803CE0"/>
    <w:rsid w:val="00805F07"/>
    <w:rsid w:val="0081173D"/>
    <w:rsid w:val="008611F1"/>
    <w:rsid w:val="008A2976"/>
    <w:rsid w:val="008A5195"/>
    <w:rsid w:val="008D2CF3"/>
    <w:rsid w:val="00904955"/>
    <w:rsid w:val="00955B5D"/>
    <w:rsid w:val="00A37E85"/>
    <w:rsid w:val="00A442E8"/>
    <w:rsid w:val="00AB08CD"/>
    <w:rsid w:val="00AF2591"/>
    <w:rsid w:val="00B309B6"/>
    <w:rsid w:val="00B61159"/>
    <w:rsid w:val="00B7580F"/>
    <w:rsid w:val="00C12BCF"/>
    <w:rsid w:val="00C6707F"/>
    <w:rsid w:val="00D02A12"/>
    <w:rsid w:val="00D127EE"/>
    <w:rsid w:val="00D23BAB"/>
    <w:rsid w:val="00D5364B"/>
    <w:rsid w:val="00D55631"/>
    <w:rsid w:val="00D73AC6"/>
    <w:rsid w:val="00D95AB8"/>
    <w:rsid w:val="00DB3749"/>
    <w:rsid w:val="00DD14F3"/>
    <w:rsid w:val="00DE5D03"/>
    <w:rsid w:val="00E316E7"/>
    <w:rsid w:val="00E631B1"/>
    <w:rsid w:val="00E81974"/>
    <w:rsid w:val="00EE42B5"/>
    <w:rsid w:val="00EF0AB0"/>
    <w:rsid w:val="00F0439E"/>
    <w:rsid w:val="00F14193"/>
    <w:rsid w:val="00F332BF"/>
    <w:rsid w:val="00F4162D"/>
    <w:rsid w:val="00F61113"/>
    <w:rsid w:val="00FC791E"/>
    <w:rsid w:val="00FF1C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6355"/>
  <w15:chartTrackingRefBased/>
  <w15:docId w15:val="{6E4DBCE2-D91B-4CAB-9DDC-0A02DE6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C6"/>
  </w:style>
  <w:style w:type="paragraph" w:styleId="Ttulo2">
    <w:name w:val="heading 2"/>
    <w:basedOn w:val="Normal"/>
    <w:next w:val="Normal"/>
    <w:link w:val="Ttulo2Car"/>
    <w:uiPriority w:val="9"/>
    <w:semiHidden/>
    <w:unhideWhenUsed/>
    <w:qFormat/>
    <w:rsid w:val="006F6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73AC6"/>
    <w:pPr>
      <w:spacing w:after="200" w:line="240" w:lineRule="auto"/>
    </w:pPr>
    <w:rPr>
      <w:i/>
      <w:iCs/>
      <w:color w:val="44546A" w:themeColor="text2"/>
      <w:sz w:val="18"/>
      <w:szCs w:val="18"/>
    </w:rPr>
  </w:style>
  <w:style w:type="paragraph" w:styleId="Prrafodelista">
    <w:name w:val="List Paragraph"/>
    <w:basedOn w:val="Normal"/>
    <w:uiPriority w:val="34"/>
    <w:qFormat/>
    <w:rsid w:val="00D73AC6"/>
    <w:pPr>
      <w:ind w:left="720"/>
      <w:contextualSpacing/>
    </w:pPr>
  </w:style>
  <w:style w:type="paragraph" w:customStyle="1" w:styleId="Normal1">
    <w:name w:val="Normal1"/>
    <w:rsid w:val="00D73AC6"/>
    <w:pPr>
      <w:widowControl w:val="0"/>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1"/>
    <w:qFormat/>
    <w:rsid w:val="00D73AC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D73AC6"/>
    <w:rPr>
      <w:rFonts w:eastAsiaTheme="minorEastAsia"/>
      <w:color w:val="5A5A5A" w:themeColor="text1" w:themeTint="A5"/>
      <w:spacing w:val="15"/>
    </w:rPr>
  </w:style>
  <w:style w:type="character" w:customStyle="1" w:styleId="SubttuloCar1">
    <w:name w:val="Subtítulo Car1"/>
    <w:basedOn w:val="Fuentedeprrafopredeter"/>
    <w:link w:val="Subttulo"/>
    <w:locked/>
    <w:rsid w:val="00D73AC6"/>
    <w:rPr>
      <w:rFonts w:ascii="Tahoma" w:eastAsia="Tahoma" w:hAnsi="Tahoma" w:cs="Tahoma"/>
      <w:i/>
      <w:sz w:val="24"/>
      <w:szCs w:val="24"/>
      <w:lang w:eastAsia="ar-SA"/>
    </w:rPr>
  </w:style>
  <w:style w:type="table" w:styleId="Tablaconcuadrcula">
    <w:name w:val="Table Grid"/>
    <w:basedOn w:val="Tablanormal"/>
    <w:uiPriority w:val="39"/>
    <w:rsid w:val="00D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1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193"/>
  </w:style>
  <w:style w:type="paragraph" w:styleId="Piedepgina">
    <w:name w:val="footer"/>
    <w:basedOn w:val="Normal"/>
    <w:link w:val="PiedepginaCar"/>
    <w:uiPriority w:val="99"/>
    <w:unhideWhenUsed/>
    <w:rsid w:val="00F141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193"/>
  </w:style>
  <w:style w:type="character" w:styleId="Refdecomentario">
    <w:name w:val="annotation reference"/>
    <w:basedOn w:val="Fuentedeprrafopredeter"/>
    <w:uiPriority w:val="99"/>
    <w:semiHidden/>
    <w:unhideWhenUsed/>
    <w:rsid w:val="00AB08CD"/>
    <w:rPr>
      <w:sz w:val="16"/>
      <w:szCs w:val="16"/>
    </w:rPr>
  </w:style>
  <w:style w:type="paragraph" w:styleId="Textocomentario">
    <w:name w:val="annotation text"/>
    <w:basedOn w:val="Normal"/>
    <w:link w:val="TextocomentarioCar"/>
    <w:uiPriority w:val="99"/>
    <w:semiHidden/>
    <w:unhideWhenUsed/>
    <w:rsid w:val="00AB08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08CD"/>
    <w:rPr>
      <w:sz w:val="20"/>
      <w:szCs w:val="20"/>
    </w:rPr>
  </w:style>
  <w:style w:type="paragraph" w:styleId="Asuntodelcomentario">
    <w:name w:val="annotation subject"/>
    <w:basedOn w:val="Textocomentario"/>
    <w:next w:val="Textocomentario"/>
    <w:link w:val="AsuntodelcomentarioCar"/>
    <w:uiPriority w:val="99"/>
    <w:semiHidden/>
    <w:unhideWhenUsed/>
    <w:rsid w:val="00AB08CD"/>
    <w:rPr>
      <w:b/>
      <w:bCs/>
    </w:rPr>
  </w:style>
  <w:style w:type="character" w:customStyle="1" w:styleId="AsuntodelcomentarioCar">
    <w:name w:val="Asunto del comentario Car"/>
    <w:basedOn w:val="TextocomentarioCar"/>
    <w:link w:val="Asuntodelcomentario"/>
    <w:uiPriority w:val="99"/>
    <w:semiHidden/>
    <w:rsid w:val="00AB08CD"/>
    <w:rPr>
      <w:b/>
      <w:bCs/>
      <w:sz w:val="20"/>
      <w:szCs w:val="20"/>
    </w:rPr>
  </w:style>
  <w:style w:type="paragraph" w:styleId="Textodeglobo">
    <w:name w:val="Balloon Text"/>
    <w:basedOn w:val="Normal"/>
    <w:link w:val="TextodegloboCar"/>
    <w:uiPriority w:val="99"/>
    <w:semiHidden/>
    <w:unhideWhenUsed/>
    <w:rsid w:val="00AB08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8CD"/>
    <w:rPr>
      <w:rFonts w:ascii="Segoe UI" w:hAnsi="Segoe UI" w:cs="Segoe UI"/>
      <w:sz w:val="18"/>
      <w:szCs w:val="18"/>
    </w:rPr>
  </w:style>
  <w:style w:type="character" w:customStyle="1" w:styleId="Ttulo2Car">
    <w:name w:val="Título 2 Car"/>
    <w:basedOn w:val="Fuentedeprrafopredeter"/>
    <w:link w:val="Ttulo2"/>
    <w:uiPriority w:val="9"/>
    <w:semiHidden/>
    <w:rsid w:val="006F60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608">
      <w:bodyDiv w:val="1"/>
      <w:marLeft w:val="0"/>
      <w:marRight w:val="0"/>
      <w:marTop w:val="0"/>
      <w:marBottom w:val="0"/>
      <w:divBdr>
        <w:top w:val="none" w:sz="0" w:space="0" w:color="auto"/>
        <w:left w:val="none" w:sz="0" w:space="0" w:color="auto"/>
        <w:bottom w:val="none" w:sz="0" w:space="0" w:color="auto"/>
        <w:right w:val="none" w:sz="0" w:space="0" w:color="auto"/>
      </w:divBdr>
    </w:div>
    <w:div w:id="1161695954">
      <w:bodyDiv w:val="1"/>
      <w:marLeft w:val="0"/>
      <w:marRight w:val="0"/>
      <w:marTop w:val="0"/>
      <w:marBottom w:val="0"/>
      <w:divBdr>
        <w:top w:val="none" w:sz="0" w:space="0" w:color="auto"/>
        <w:left w:val="none" w:sz="0" w:space="0" w:color="auto"/>
        <w:bottom w:val="none" w:sz="0" w:space="0" w:color="auto"/>
        <w:right w:val="none" w:sz="0" w:space="0" w:color="auto"/>
      </w:divBdr>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ndoza.gov.ar/compras/compras-publicas-sustentables/" TargetMode="Externa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7575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2</cp:revision>
  <dcterms:created xsi:type="dcterms:W3CDTF">2022-02-02T15:38:00Z</dcterms:created>
  <dcterms:modified xsi:type="dcterms:W3CDTF">2022-02-02T15:38:00Z</dcterms:modified>
</cp:coreProperties>
</file>