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8D" w:rsidRDefault="00222A8D">
      <w:bookmarkStart w:id="0" w:name="_GoBack"/>
      <w:bookmarkEnd w:id="0"/>
    </w:p>
    <w:p w:rsidR="00222A8D" w:rsidRDefault="00222A8D" w:rsidP="00222A8D"/>
    <w:p w:rsidR="00222A8D" w:rsidRPr="00D24282" w:rsidRDefault="00222A8D" w:rsidP="00222A8D">
      <w:pPr>
        <w:jc w:val="center"/>
        <w:rPr>
          <w:rFonts w:ascii="Times New Roman" w:hAnsi="Times New Roman" w:cs="Times New Roman"/>
          <w:b/>
          <w:sz w:val="24"/>
          <w:szCs w:val="24"/>
          <w:lang w:val="es-AR"/>
        </w:rPr>
      </w:pPr>
      <w:r>
        <w:rPr>
          <w:rFonts w:ascii="Times New Roman" w:hAnsi="Times New Roman" w:cs="Times New Roman"/>
          <w:b/>
          <w:sz w:val="24"/>
          <w:szCs w:val="24"/>
          <w:lang w:val="es-AR"/>
        </w:rPr>
        <w:t>GRILLA MODELO PARA LA ADQUISIÓN DE ESTABILIZADORES DE TENSIÓN</w:t>
      </w:r>
    </w:p>
    <w:p w:rsidR="00222A8D" w:rsidRDefault="00222A8D" w:rsidP="00222A8D">
      <w:pPr>
        <w:jc w:val="both"/>
        <w:rPr>
          <w:rFonts w:ascii="Times New Roman" w:hAnsi="Times New Roman" w:cs="Times New Roman"/>
          <w:sz w:val="24"/>
          <w:szCs w:val="24"/>
          <w:lang w:val="es-AR"/>
        </w:rPr>
      </w:pPr>
    </w:p>
    <w:tbl>
      <w:tblPr>
        <w:tblStyle w:val="Tablaconcuadrcula"/>
        <w:tblW w:w="0" w:type="auto"/>
        <w:tblInd w:w="1129" w:type="dxa"/>
        <w:tblLook w:val="04A0" w:firstRow="1" w:lastRow="0" w:firstColumn="1" w:lastColumn="0" w:noHBand="0" w:noVBand="1"/>
      </w:tblPr>
      <w:tblGrid>
        <w:gridCol w:w="5783"/>
        <w:gridCol w:w="1730"/>
      </w:tblGrid>
      <w:tr w:rsidR="00222A8D" w:rsidTr="00222A8D">
        <w:tc>
          <w:tcPr>
            <w:tcW w:w="5783" w:type="dxa"/>
            <w:vAlign w:val="center"/>
          </w:tcPr>
          <w:p w:rsidR="00222A8D" w:rsidRPr="00602EFC" w:rsidRDefault="00222A8D" w:rsidP="0087086F">
            <w:pPr>
              <w:jc w:val="center"/>
              <w:rPr>
                <w:rFonts w:ascii="Times New Roman" w:hAnsi="Times New Roman" w:cs="Times New Roman"/>
                <w:b/>
                <w:sz w:val="24"/>
                <w:szCs w:val="24"/>
                <w:lang w:val="es-AR"/>
              </w:rPr>
            </w:pPr>
            <w:r>
              <w:rPr>
                <w:rFonts w:ascii="Times New Roman" w:hAnsi="Times New Roman" w:cs="Times New Roman"/>
                <w:b/>
                <w:sz w:val="24"/>
                <w:szCs w:val="24"/>
                <w:lang w:val="es-AR"/>
              </w:rPr>
              <w:t>CRITERIO</w:t>
            </w:r>
          </w:p>
        </w:tc>
        <w:tc>
          <w:tcPr>
            <w:tcW w:w="1730" w:type="dxa"/>
            <w:vAlign w:val="center"/>
          </w:tcPr>
          <w:p w:rsidR="00222A8D" w:rsidRDefault="00222A8D" w:rsidP="0087086F">
            <w:pPr>
              <w:jc w:val="center"/>
              <w:rPr>
                <w:rFonts w:ascii="Times New Roman" w:hAnsi="Times New Roman" w:cs="Times New Roman"/>
                <w:sz w:val="24"/>
                <w:szCs w:val="24"/>
                <w:lang w:val="es-AR"/>
              </w:rPr>
            </w:pPr>
            <w:r w:rsidRPr="00602EFC">
              <w:rPr>
                <w:rFonts w:ascii="Times New Roman" w:hAnsi="Times New Roman" w:cs="Times New Roman"/>
                <w:b/>
                <w:sz w:val="24"/>
                <w:szCs w:val="24"/>
                <w:lang w:val="es-AR"/>
              </w:rPr>
              <w:t>PUNTAJE</w:t>
            </w:r>
          </w:p>
        </w:tc>
      </w:tr>
      <w:tr w:rsidR="00222A8D" w:rsidTr="00222A8D">
        <w:tc>
          <w:tcPr>
            <w:tcW w:w="5783" w:type="dxa"/>
          </w:tcPr>
          <w:p w:rsidR="00222A8D" w:rsidRPr="00D24282" w:rsidRDefault="00222A8D" w:rsidP="00222A8D">
            <w:pPr>
              <w:pStyle w:val="Prrafodelista"/>
              <w:numPr>
                <w:ilvl w:val="0"/>
                <w:numId w:val="4"/>
              </w:numPr>
              <w:jc w:val="both"/>
              <w:rPr>
                <w:rFonts w:ascii="Times New Roman" w:hAnsi="Times New Roman" w:cs="Times New Roman"/>
                <w:sz w:val="24"/>
                <w:szCs w:val="24"/>
                <w:lang w:val="es-AR"/>
              </w:rPr>
            </w:pPr>
            <w:r w:rsidRPr="00D24282">
              <w:rPr>
                <w:rFonts w:ascii="Times New Roman" w:hAnsi="Times New Roman" w:cs="Times New Roman"/>
                <w:b/>
                <w:sz w:val="24"/>
                <w:szCs w:val="24"/>
                <w:lang w:val="es-AR"/>
              </w:rPr>
              <w:t>ANTECEDENTES</w:t>
            </w:r>
          </w:p>
          <w:p w:rsidR="00222A8D" w:rsidRDefault="00222A8D" w:rsidP="00222A8D">
            <w:pPr>
              <w:pStyle w:val="Prrafodelista"/>
              <w:numPr>
                <w:ilvl w:val="0"/>
                <w:numId w:val="5"/>
              </w:numPr>
              <w:jc w:val="both"/>
              <w:rPr>
                <w:rFonts w:ascii="Times New Roman" w:hAnsi="Times New Roman" w:cs="Times New Roman"/>
                <w:sz w:val="24"/>
                <w:szCs w:val="24"/>
                <w:lang w:val="es-AR"/>
              </w:rPr>
            </w:pPr>
            <w:r>
              <w:rPr>
                <w:rFonts w:ascii="Times New Roman" w:hAnsi="Times New Roman" w:cs="Times New Roman"/>
                <w:sz w:val="24"/>
                <w:szCs w:val="24"/>
                <w:lang w:val="es-AR"/>
              </w:rPr>
              <w:t>Comerciales</w:t>
            </w:r>
          </w:p>
          <w:p w:rsidR="00222A8D" w:rsidRPr="00D24282" w:rsidRDefault="00222A8D" w:rsidP="00222A8D">
            <w:pPr>
              <w:pStyle w:val="Prrafodelista"/>
              <w:numPr>
                <w:ilvl w:val="0"/>
                <w:numId w:val="5"/>
              </w:numPr>
              <w:jc w:val="both"/>
              <w:rPr>
                <w:rFonts w:ascii="Times New Roman" w:hAnsi="Times New Roman" w:cs="Times New Roman"/>
                <w:sz w:val="24"/>
                <w:szCs w:val="24"/>
                <w:lang w:val="es-AR"/>
              </w:rPr>
            </w:pPr>
            <w:r>
              <w:rPr>
                <w:rFonts w:ascii="Times New Roman" w:hAnsi="Times New Roman" w:cs="Times New Roman"/>
                <w:sz w:val="24"/>
                <w:szCs w:val="24"/>
                <w:lang w:val="es-AR"/>
              </w:rPr>
              <w:t>contractuales</w:t>
            </w:r>
          </w:p>
        </w:tc>
        <w:tc>
          <w:tcPr>
            <w:tcW w:w="1730" w:type="dxa"/>
            <w:vAlign w:val="center"/>
          </w:tcPr>
          <w:p w:rsidR="00222A8D" w:rsidRPr="00D24282" w:rsidRDefault="00222A8D" w:rsidP="0087086F">
            <w:pPr>
              <w:jc w:val="center"/>
              <w:rPr>
                <w:rFonts w:ascii="Times New Roman" w:hAnsi="Times New Roman" w:cs="Times New Roman"/>
                <w:b/>
                <w:sz w:val="24"/>
                <w:szCs w:val="24"/>
                <w:lang w:val="es-AR"/>
              </w:rPr>
            </w:pPr>
            <w:r w:rsidRPr="00D24282">
              <w:rPr>
                <w:rFonts w:ascii="Times New Roman" w:hAnsi="Times New Roman" w:cs="Times New Roman"/>
                <w:b/>
                <w:sz w:val="24"/>
                <w:szCs w:val="24"/>
                <w:lang w:val="es-AR"/>
              </w:rPr>
              <w:t>20</w:t>
            </w:r>
          </w:p>
        </w:tc>
      </w:tr>
      <w:tr w:rsidR="00222A8D" w:rsidTr="00222A8D">
        <w:tc>
          <w:tcPr>
            <w:tcW w:w="5783" w:type="dxa"/>
            <w:vAlign w:val="center"/>
          </w:tcPr>
          <w:p w:rsidR="00222A8D" w:rsidRPr="00D24282" w:rsidRDefault="00222A8D" w:rsidP="00222A8D">
            <w:pPr>
              <w:pStyle w:val="Prrafodelista"/>
              <w:numPr>
                <w:ilvl w:val="0"/>
                <w:numId w:val="4"/>
              </w:numPr>
              <w:rPr>
                <w:rFonts w:ascii="Times New Roman" w:hAnsi="Times New Roman" w:cs="Times New Roman"/>
                <w:sz w:val="24"/>
                <w:szCs w:val="24"/>
                <w:lang w:val="es-AR"/>
              </w:rPr>
            </w:pPr>
            <w:r>
              <w:rPr>
                <w:rFonts w:ascii="Times New Roman" w:hAnsi="Times New Roman" w:cs="Times New Roman"/>
                <w:b/>
                <w:sz w:val="24"/>
                <w:szCs w:val="24"/>
                <w:lang w:val="es-AR"/>
              </w:rPr>
              <w:t>INDICADORES DE CALIDAD DEL BIEN O SERVICIO</w:t>
            </w:r>
          </w:p>
          <w:p w:rsidR="00222A8D" w:rsidRDefault="00222A8D" w:rsidP="00222A8D">
            <w:pPr>
              <w:pStyle w:val="Prrafodelista"/>
              <w:numPr>
                <w:ilvl w:val="0"/>
                <w:numId w:val="6"/>
              </w:numPr>
              <w:rPr>
                <w:rFonts w:ascii="Times New Roman" w:hAnsi="Times New Roman" w:cs="Times New Roman"/>
                <w:sz w:val="24"/>
                <w:szCs w:val="24"/>
                <w:lang w:val="es-AR"/>
              </w:rPr>
            </w:pPr>
            <w:r>
              <w:rPr>
                <w:rFonts w:ascii="Times New Roman" w:hAnsi="Times New Roman" w:cs="Times New Roman"/>
                <w:sz w:val="24"/>
                <w:szCs w:val="24"/>
                <w:lang w:val="es-AR"/>
              </w:rPr>
              <w:t xml:space="preserve">Potencia                                          15 </w:t>
            </w:r>
            <w:proofErr w:type="spellStart"/>
            <w:r>
              <w:rPr>
                <w:rFonts w:ascii="Times New Roman" w:hAnsi="Times New Roman" w:cs="Times New Roman"/>
                <w:sz w:val="24"/>
                <w:szCs w:val="24"/>
                <w:lang w:val="es-AR"/>
              </w:rPr>
              <w:t>ptos</w:t>
            </w:r>
            <w:proofErr w:type="spellEnd"/>
          </w:p>
          <w:p w:rsidR="00222A8D" w:rsidRPr="009B62E4" w:rsidRDefault="00222A8D" w:rsidP="00222A8D">
            <w:pPr>
              <w:pStyle w:val="Prrafodelista"/>
              <w:numPr>
                <w:ilvl w:val="0"/>
                <w:numId w:val="6"/>
              </w:numPr>
              <w:rPr>
                <w:rFonts w:ascii="Times New Roman" w:hAnsi="Times New Roman" w:cs="Times New Roman"/>
                <w:sz w:val="24"/>
                <w:szCs w:val="24"/>
                <w:lang w:val="es-AR"/>
              </w:rPr>
            </w:pPr>
            <w:r>
              <w:rPr>
                <w:rFonts w:ascii="Times New Roman" w:hAnsi="Times New Roman" w:cs="Times New Roman"/>
                <w:sz w:val="24"/>
                <w:szCs w:val="24"/>
                <w:lang w:val="es-AR"/>
              </w:rPr>
              <w:t xml:space="preserve">Precisión                                         15 </w:t>
            </w:r>
            <w:proofErr w:type="spellStart"/>
            <w:r>
              <w:rPr>
                <w:rFonts w:ascii="Times New Roman" w:hAnsi="Times New Roman" w:cs="Times New Roman"/>
                <w:sz w:val="24"/>
                <w:szCs w:val="24"/>
                <w:lang w:val="es-AR"/>
              </w:rPr>
              <w:t>ptos</w:t>
            </w:r>
            <w:proofErr w:type="spellEnd"/>
          </w:p>
        </w:tc>
        <w:tc>
          <w:tcPr>
            <w:tcW w:w="1730" w:type="dxa"/>
            <w:vAlign w:val="center"/>
          </w:tcPr>
          <w:p w:rsidR="00222A8D" w:rsidRPr="00D24282" w:rsidRDefault="00222A8D" w:rsidP="0087086F">
            <w:pPr>
              <w:jc w:val="center"/>
              <w:rPr>
                <w:rFonts w:ascii="Times New Roman" w:hAnsi="Times New Roman" w:cs="Times New Roman"/>
                <w:b/>
                <w:sz w:val="24"/>
                <w:szCs w:val="24"/>
                <w:lang w:val="es-AR"/>
              </w:rPr>
            </w:pPr>
            <w:r>
              <w:rPr>
                <w:rFonts w:ascii="Times New Roman" w:hAnsi="Times New Roman" w:cs="Times New Roman"/>
                <w:b/>
                <w:sz w:val="24"/>
                <w:szCs w:val="24"/>
                <w:lang w:val="es-AR"/>
              </w:rPr>
              <w:t>30</w:t>
            </w:r>
          </w:p>
        </w:tc>
      </w:tr>
      <w:tr w:rsidR="00222A8D" w:rsidTr="00222A8D">
        <w:tc>
          <w:tcPr>
            <w:tcW w:w="5783" w:type="dxa"/>
            <w:vAlign w:val="center"/>
          </w:tcPr>
          <w:p w:rsidR="00222A8D" w:rsidRPr="00D24282" w:rsidRDefault="00222A8D" w:rsidP="00222A8D">
            <w:pPr>
              <w:pStyle w:val="Prrafodelista"/>
              <w:numPr>
                <w:ilvl w:val="0"/>
                <w:numId w:val="4"/>
              </w:numPr>
              <w:rPr>
                <w:rFonts w:ascii="Times New Roman" w:hAnsi="Times New Roman" w:cs="Times New Roman"/>
                <w:sz w:val="24"/>
                <w:szCs w:val="24"/>
                <w:lang w:val="es-AR"/>
              </w:rPr>
            </w:pPr>
            <w:r>
              <w:rPr>
                <w:rFonts w:ascii="Times New Roman" w:hAnsi="Times New Roman" w:cs="Times New Roman"/>
                <w:b/>
                <w:sz w:val="24"/>
                <w:szCs w:val="24"/>
                <w:lang w:val="es-AR"/>
              </w:rPr>
              <w:t>ACREDITACIÓN ODS S/LEY 9193</w:t>
            </w:r>
          </w:p>
        </w:tc>
        <w:tc>
          <w:tcPr>
            <w:tcW w:w="1730" w:type="dxa"/>
            <w:vAlign w:val="center"/>
          </w:tcPr>
          <w:p w:rsidR="00222A8D" w:rsidRPr="00D24282" w:rsidRDefault="00222A8D" w:rsidP="0087086F">
            <w:pPr>
              <w:jc w:val="center"/>
              <w:rPr>
                <w:rFonts w:ascii="Times New Roman" w:hAnsi="Times New Roman" w:cs="Times New Roman"/>
                <w:b/>
                <w:sz w:val="24"/>
                <w:szCs w:val="24"/>
                <w:lang w:val="es-AR"/>
              </w:rPr>
            </w:pPr>
            <w:r>
              <w:rPr>
                <w:rFonts w:ascii="Times New Roman" w:hAnsi="Times New Roman" w:cs="Times New Roman"/>
                <w:b/>
                <w:sz w:val="24"/>
                <w:szCs w:val="24"/>
                <w:lang w:val="es-AR"/>
              </w:rPr>
              <w:t>10</w:t>
            </w:r>
          </w:p>
        </w:tc>
      </w:tr>
      <w:tr w:rsidR="00222A8D" w:rsidTr="00222A8D">
        <w:tc>
          <w:tcPr>
            <w:tcW w:w="5783" w:type="dxa"/>
            <w:vAlign w:val="center"/>
          </w:tcPr>
          <w:p w:rsidR="00222A8D" w:rsidRPr="00D24282" w:rsidRDefault="00222A8D" w:rsidP="00222A8D">
            <w:pPr>
              <w:pStyle w:val="Prrafodelista"/>
              <w:numPr>
                <w:ilvl w:val="0"/>
                <w:numId w:val="4"/>
              </w:numPr>
              <w:rPr>
                <w:rFonts w:ascii="Times New Roman" w:hAnsi="Times New Roman" w:cs="Times New Roman"/>
                <w:b/>
                <w:sz w:val="24"/>
                <w:szCs w:val="24"/>
                <w:lang w:val="es-AR"/>
              </w:rPr>
            </w:pPr>
            <w:r w:rsidRPr="00D24282">
              <w:rPr>
                <w:rFonts w:ascii="Times New Roman" w:hAnsi="Times New Roman" w:cs="Times New Roman"/>
                <w:b/>
                <w:sz w:val="24"/>
                <w:szCs w:val="24"/>
                <w:lang w:val="es-AR"/>
              </w:rPr>
              <w:t>OFERTA ECONÓMICA</w:t>
            </w:r>
          </w:p>
        </w:tc>
        <w:tc>
          <w:tcPr>
            <w:tcW w:w="1730" w:type="dxa"/>
            <w:vAlign w:val="center"/>
          </w:tcPr>
          <w:p w:rsidR="00222A8D" w:rsidRPr="00D24282" w:rsidRDefault="00222A8D" w:rsidP="0087086F">
            <w:pPr>
              <w:jc w:val="center"/>
              <w:rPr>
                <w:rFonts w:ascii="Times New Roman" w:hAnsi="Times New Roman" w:cs="Times New Roman"/>
                <w:b/>
                <w:sz w:val="24"/>
                <w:szCs w:val="24"/>
                <w:lang w:val="es-AR"/>
              </w:rPr>
            </w:pPr>
            <w:r>
              <w:rPr>
                <w:rFonts w:ascii="Times New Roman" w:hAnsi="Times New Roman" w:cs="Times New Roman"/>
                <w:b/>
                <w:sz w:val="24"/>
                <w:szCs w:val="24"/>
                <w:lang w:val="es-AR"/>
              </w:rPr>
              <w:t>40</w:t>
            </w:r>
          </w:p>
        </w:tc>
      </w:tr>
      <w:tr w:rsidR="00222A8D" w:rsidTr="00222A8D">
        <w:tc>
          <w:tcPr>
            <w:tcW w:w="5783" w:type="dxa"/>
            <w:vAlign w:val="center"/>
          </w:tcPr>
          <w:p w:rsidR="00222A8D" w:rsidRPr="00C60EBE" w:rsidRDefault="00222A8D" w:rsidP="0087086F">
            <w:pPr>
              <w:rPr>
                <w:rFonts w:ascii="Times New Roman" w:hAnsi="Times New Roman" w:cs="Times New Roman"/>
                <w:b/>
                <w:sz w:val="24"/>
                <w:szCs w:val="24"/>
                <w:lang w:val="es-AR"/>
              </w:rPr>
            </w:pPr>
            <w:r>
              <w:rPr>
                <w:rFonts w:ascii="Times New Roman" w:hAnsi="Times New Roman" w:cs="Times New Roman"/>
                <w:b/>
                <w:sz w:val="24"/>
                <w:szCs w:val="24"/>
                <w:lang w:val="es-AR"/>
              </w:rPr>
              <w:t>TOTAL</w:t>
            </w:r>
          </w:p>
        </w:tc>
        <w:tc>
          <w:tcPr>
            <w:tcW w:w="1730" w:type="dxa"/>
            <w:vAlign w:val="center"/>
          </w:tcPr>
          <w:p w:rsidR="00222A8D" w:rsidRPr="00D24282" w:rsidRDefault="00222A8D" w:rsidP="0087086F">
            <w:pPr>
              <w:jc w:val="center"/>
              <w:rPr>
                <w:rFonts w:ascii="Times New Roman" w:hAnsi="Times New Roman" w:cs="Times New Roman"/>
                <w:b/>
                <w:sz w:val="24"/>
                <w:szCs w:val="24"/>
                <w:lang w:val="es-AR"/>
              </w:rPr>
            </w:pPr>
            <w:r>
              <w:rPr>
                <w:rFonts w:ascii="Times New Roman" w:hAnsi="Times New Roman" w:cs="Times New Roman"/>
                <w:b/>
                <w:sz w:val="24"/>
                <w:szCs w:val="24"/>
                <w:lang w:val="es-AR"/>
              </w:rPr>
              <w:t>100</w:t>
            </w:r>
          </w:p>
        </w:tc>
      </w:tr>
    </w:tbl>
    <w:p w:rsidR="00222A8D" w:rsidRDefault="00222A8D" w:rsidP="00222A8D">
      <w:pPr>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 </w:t>
      </w:r>
    </w:p>
    <w:p w:rsidR="00222A8D" w:rsidRDefault="00222A8D" w:rsidP="00222A8D">
      <w:pPr>
        <w:pStyle w:val="Prrafodelista"/>
        <w:numPr>
          <w:ilvl w:val="0"/>
          <w:numId w:val="1"/>
        </w:numPr>
        <w:jc w:val="both"/>
        <w:rPr>
          <w:rFonts w:ascii="Times New Roman" w:hAnsi="Times New Roman" w:cs="Times New Roman"/>
          <w:b/>
          <w:sz w:val="24"/>
          <w:szCs w:val="24"/>
          <w:lang w:val="es-AR"/>
        </w:rPr>
      </w:pPr>
      <w:r>
        <w:rPr>
          <w:rFonts w:ascii="Times New Roman" w:hAnsi="Times New Roman" w:cs="Times New Roman"/>
          <w:b/>
          <w:sz w:val="24"/>
          <w:szCs w:val="24"/>
          <w:lang w:val="es-AR"/>
        </w:rPr>
        <w:t>ANTECEDENTES (20)</w:t>
      </w:r>
    </w:p>
    <w:p w:rsidR="00222A8D" w:rsidRDefault="00222A8D" w:rsidP="00222A8D">
      <w:pPr>
        <w:pStyle w:val="Prrafodelista"/>
        <w:jc w:val="both"/>
        <w:rPr>
          <w:rFonts w:ascii="Times New Roman" w:hAnsi="Times New Roman" w:cs="Times New Roman"/>
          <w:b/>
          <w:sz w:val="24"/>
          <w:szCs w:val="24"/>
          <w:lang w:val="es-AR"/>
        </w:rPr>
      </w:pPr>
    </w:p>
    <w:p w:rsidR="00222A8D" w:rsidRDefault="00222A8D" w:rsidP="00222A8D">
      <w:pPr>
        <w:pStyle w:val="Prrafodelista"/>
        <w:numPr>
          <w:ilvl w:val="0"/>
          <w:numId w:val="2"/>
        </w:numPr>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Comerciales: </w:t>
      </w:r>
      <w:r w:rsidRPr="00936AA0">
        <w:rPr>
          <w:rFonts w:ascii="Times New Roman" w:hAnsi="Times New Roman" w:cs="Times New Roman"/>
          <w:sz w:val="24"/>
          <w:szCs w:val="24"/>
          <w:lang w:val="es-AR"/>
        </w:rPr>
        <w:t xml:space="preserve">  Comerciales: 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w:t>
      </w:r>
    </w:p>
    <w:p w:rsidR="00222A8D" w:rsidRDefault="00222A8D" w:rsidP="00222A8D">
      <w:pPr>
        <w:pStyle w:val="Prrafodelista"/>
        <w:numPr>
          <w:ilvl w:val="0"/>
          <w:numId w:val="2"/>
        </w:numPr>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Contractuales: </w:t>
      </w:r>
      <w:r w:rsidRPr="00936AA0">
        <w:rPr>
          <w:rFonts w:ascii="Times New Roman" w:hAnsi="Times New Roman" w:cs="Times New Roman"/>
          <w:sz w:val="24"/>
          <w:szCs w:val="24"/>
          <w:lang w:val="es-AR"/>
        </w:rPr>
        <w:t>Comerciales: 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w:t>
      </w:r>
    </w:p>
    <w:p w:rsidR="00222A8D" w:rsidRDefault="00222A8D" w:rsidP="00222A8D">
      <w:pPr>
        <w:pStyle w:val="Prrafodelista"/>
        <w:ind w:left="1440"/>
        <w:jc w:val="both"/>
        <w:rPr>
          <w:rFonts w:ascii="Times New Roman" w:hAnsi="Times New Roman" w:cs="Times New Roman"/>
          <w:sz w:val="24"/>
          <w:szCs w:val="24"/>
          <w:lang w:val="es-AR"/>
        </w:rPr>
      </w:pPr>
      <w:r w:rsidRPr="00936AA0">
        <w:rPr>
          <w:rFonts w:ascii="Times New Roman" w:hAnsi="Times New Roman" w:cs="Times New Roman"/>
          <w:sz w:val="24"/>
          <w:szCs w:val="24"/>
          <w:lang w:val="es-AR"/>
        </w:rPr>
        <w:t>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w:t>
      </w:r>
    </w:p>
    <w:p w:rsidR="00222A8D" w:rsidRPr="00936AA0" w:rsidRDefault="00222A8D" w:rsidP="00222A8D">
      <w:pPr>
        <w:pStyle w:val="Prrafodelista"/>
        <w:ind w:left="1440"/>
        <w:jc w:val="both"/>
        <w:rPr>
          <w:rFonts w:ascii="Times New Roman" w:hAnsi="Times New Roman" w:cs="Times New Roman"/>
          <w:sz w:val="24"/>
          <w:szCs w:val="24"/>
          <w:lang w:val="es-AR"/>
        </w:rPr>
      </w:pPr>
    </w:p>
    <w:p w:rsidR="00222A8D" w:rsidRDefault="00222A8D" w:rsidP="00222A8D">
      <w:pPr>
        <w:pStyle w:val="Prrafodelista"/>
        <w:numPr>
          <w:ilvl w:val="0"/>
          <w:numId w:val="1"/>
        </w:numPr>
        <w:jc w:val="both"/>
        <w:rPr>
          <w:rFonts w:ascii="Times New Roman" w:hAnsi="Times New Roman" w:cs="Times New Roman"/>
          <w:b/>
          <w:sz w:val="24"/>
          <w:szCs w:val="24"/>
          <w:lang w:val="es-AR"/>
        </w:rPr>
      </w:pPr>
      <w:r>
        <w:rPr>
          <w:rFonts w:ascii="Times New Roman" w:hAnsi="Times New Roman" w:cs="Times New Roman"/>
          <w:b/>
          <w:sz w:val="24"/>
          <w:szCs w:val="24"/>
          <w:lang w:val="es-AR"/>
        </w:rPr>
        <w:t>INDICADORES DE CALIDAD DEL BIEN O SERVICIO (30)</w:t>
      </w:r>
    </w:p>
    <w:p w:rsidR="00222A8D" w:rsidRDefault="00222A8D" w:rsidP="00222A8D">
      <w:pPr>
        <w:pStyle w:val="Prrafodelista"/>
        <w:jc w:val="both"/>
        <w:rPr>
          <w:rFonts w:ascii="Times New Roman" w:hAnsi="Times New Roman" w:cs="Times New Roman"/>
          <w:b/>
          <w:sz w:val="24"/>
          <w:szCs w:val="24"/>
          <w:lang w:val="es-AR"/>
        </w:rPr>
      </w:pPr>
    </w:p>
    <w:p w:rsidR="00222A8D" w:rsidRPr="009B62E4" w:rsidRDefault="00222A8D" w:rsidP="00222A8D">
      <w:pPr>
        <w:pStyle w:val="Prrafodelista"/>
        <w:numPr>
          <w:ilvl w:val="0"/>
          <w:numId w:val="3"/>
        </w:numPr>
        <w:jc w:val="both"/>
        <w:rPr>
          <w:rFonts w:ascii="Times New Roman" w:hAnsi="Times New Roman" w:cs="Times New Roman"/>
          <w:sz w:val="24"/>
          <w:szCs w:val="24"/>
          <w:lang w:val="es-AR"/>
        </w:rPr>
      </w:pPr>
      <w:r>
        <w:rPr>
          <w:rFonts w:ascii="Times New Roman" w:hAnsi="Times New Roman" w:cs="Times New Roman"/>
          <w:sz w:val="24"/>
          <w:szCs w:val="24"/>
          <w:lang w:val="es-AR"/>
        </w:rPr>
        <w:t>Potencia</w:t>
      </w:r>
      <w:r w:rsidRPr="009B62E4">
        <w:rPr>
          <w:rFonts w:ascii="Times New Roman" w:hAnsi="Times New Roman" w:cs="Times New Roman"/>
          <w:sz w:val="24"/>
          <w:szCs w:val="24"/>
          <w:lang w:val="es-AR"/>
        </w:rPr>
        <w:t>: se evalua</w:t>
      </w:r>
      <w:r>
        <w:rPr>
          <w:rFonts w:ascii="Times New Roman" w:hAnsi="Times New Roman" w:cs="Times New Roman"/>
          <w:sz w:val="24"/>
          <w:szCs w:val="24"/>
          <w:lang w:val="es-AR"/>
        </w:rPr>
        <w:t>rá con el máximo puntaje (15</w:t>
      </w:r>
      <w:r w:rsidRPr="009B62E4">
        <w:rPr>
          <w:rFonts w:ascii="Times New Roman" w:hAnsi="Times New Roman" w:cs="Times New Roman"/>
          <w:sz w:val="24"/>
          <w:szCs w:val="24"/>
          <w:lang w:val="es-AR"/>
        </w:rPr>
        <w:t xml:space="preserve"> </w:t>
      </w:r>
      <w:proofErr w:type="spellStart"/>
      <w:r w:rsidRPr="009B62E4">
        <w:rPr>
          <w:rFonts w:ascii="Times New Roman" w:hAnsi="Times New Roman" w:cs="Times New Roman"/>
          <w:sz w:val="24"/>
          <w:szCs w:val="24"/>
          <w:lang w:val="es-AR"/>
        </w:rPr>
        <w:t>ptos</w:t>
      </w:r>
      <w:proofErr w:type="spellEnd"/>
      <w:r w:rsidRPr="009B62E4">
        <w:rPr>
          <w:rFonts w:ascii="Times New Roman" w:hAnsi="Times New Roman" w:cs="Times New Roman"/>
          <w:sz w:val="24"/>
          <w:szCs w:val="24"/>
          <w:lang w:val="es-AR"/>
        </w:rPr>
        <w:t xml:space="preserve">) a la Oferta que presente </w:t>
      </w:r>
      <w:r>
        <w:rPr>
          <w:rFonts w:ascii="Times New Roman" w:hAnsi="Times New Roman" w:cs="Times New Roman"/>
          <w:sz w:val="24"/>
          <w:szCs w:val="24"/>
          <w:lang w:val="es-AR"/>
        </w:rPr>
        <w:t xml:space="preserve">un estabilizador con </w:t>
      </w:r>
      <w:r w:rsidRPr="009B62E4">
        <w:rPr>
          <w:rFonts w:ascii="Times New Roman" w:hAnsi="Times New Roman" w:cs="Times New Roman"/>
          <w:sz w:val="24"/>
          <w:szCs w:val="24"/>
          <w:lang w:val="es-AR"/>
        </w:rPr>
        <w:t>el máximo valor de potencia que pueden consumir los equipos que se conectan al estabilizador. El resto de las Ofertas se evaluarán conforme a la regla de la proporcionalidad.</w:t>
      </w:r>
    </w:p>
    <w:p w:rsidR="00222A8D" w:rsidRDefault="00222A8D" w:rsidP="00222A8D">
      <w:pPr>
        <w:pStyle w:val="Prrafodelista"/>
        <w:numPr>
          <w:ilvl w:val="0"/>
          <w:numId w:val="3"/>
        </w:numPr>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Precisión: se evaluará con el máximo puntaje (15 </w:t>
      </w:r>
      <w:proofErr w:type="spellStart"/>
      <w:r>
        <w:rPr>
          <w:rFonts w:ascii="Times New Roman" w:hAnsi="Times New Roman" w:cs="Times New Roman"/>
          <w:sz w:val="24"/>
          <w:szCs w:val="24"/>
          <w:lang w:val="es-AR"/>
        </w:rPr>
        <w:t>ptos</w:t>
      </w:r>
      <w:proofErr w:type="spellEnd"/>
      <w:r>
        <w:rPr>
          <w:rFonts w:ascii="Times New Roman" w:hAnsi="Times New Roman" w:cs="Times New Roman"/>
          <w:sz w:val="24"/>
          <w:szCs w:val="24"/>
          <w:lang w:val="es-AR"/>
        </w:rPr>
        <w:t xml:space="preserve">) a la Oferta que presente un estabilizador de potencia que mida con mayor precisión a la misma. </w:t>
      </w:r>
      <w:r w:rsidRPr="00AA30FD">
        <w:rPr>
          <w:rFonts w:ascii="Times New Roman" w:hAnsi="Times New Roman" w:cs="Times New Roman"/>
          <w:sz w:val="24"/>
          <w:szCs w:val="24"/>
          <w:lang w:val="es-AR"/>
        </w:rPr>
        <w:t>El resto de las Ofertas se evaluará conforme a la regla de proporcionalidad.</w:t>
      </w:r>
    </w:p>
    <w:p w:rsidR="00222A8D" w:rsidRPr="00936AA0" w:rsidRDefault="00222A8D" w:rsidP="00222A8D">
      <w:pPr>
        <w:ind w:left="1080"/>
        <w:jc w:val="both"/>
        <w:rPr>
          <w:rFonts w:ascii="Times New Roman" w:hAnsi="Times New Roman" w:cs="Times New Roman"/>
          <w:sz w:val="24"/>
          <w:szCs w:val="24"/>
          <w:lang w:val="es-AR"/>
        </w:rPr>
      </w:pPr>
      <w:r>
        <w:rPr>
          <w:rFonts w:ascii="Times New Roman" w:hAnsi="Times New Roman" w:cs="Times New Roman"/>
          <w:b/>
          <w:sz w:val="24"/>
          <w:szCs w:val="24"/>
          <w:lang w:val="es-AR"/>
        </w:rPr>
        <w:lastRenderedPageBreak/>
        <w:t>Nota: estos son meros ejemplos ejemplificativos de posibles indicadores. El Organismo contratante podrá establecer otros, que desde el punto de vista técnico, pueden ser más eficientes para la medición de la calidad del equipo.</w:t>
      </w:r>
    </w:p>
    <w:p w:rsidR="00222A8D" w:rsidRDefault="00222A8D" w:rsidP="00222A8D">
      <w:pPr>
        <w:pStyle w:val="Prrafodelista"/>
        <w:numPr>
          <w:ilvl w:val="0"/>
          <w:numId w:val="1"/>
        </w:numPr>
        <w:jc w:val="both"/>
        <w:rPr>
          <w:rFonts w:ascii="Times New Roman" w:hAnsi="Times New Roman" w:cs="Times New Roman"/>
          <w:b/>
          <w:sz w:val="24"/>
          <w:szCs w:val="24"/>
          <w:lang w:val="es-AR"/>
        </w:rPr>
      </w:pPr>
      <w:r>
        <w:rPr>
          <w:rFonts w:ascii="Times New Roman" w:hAnsi="Times New Roman" w:cs="Times New Roman"/>
          <w:b/>
          <w:sz w:val="24"/>
          <w:szCs w:val="24"/>
          <w:lang w:val="es-AR"/>
        </w:rPr>
        <w:t>ACREDITACIÓN ODS S/LEY 9193 (10)</w:t>
      </w:r>
    </w:p>
    <w:p w:rsidR="00222A8D" w:rsidRDefault="00222A8D" w:rsidP="00222A8D">
      <w:pPr>
        <w:pStyle w:val="Prrafodelista"/>
        <w:jc w:val="both"/>
        <w:rPr>
          <w:rFonts w:ascii="Times New Roman" w:hAnsi="Times New Roman" w:cs="Times New Roman"/>
          <w:b/>
          <w:sz w:val="24"/>
          <w:szCs w:val="24"/>
          <w:lang w:val="es-AR"/>
        </w:rPr>
      </w:pPr>
    </w:p>
    <w:p w:rsidR="00222A8D" w:rsidRPr="007E37C9" w:rsidRDefault="00222A8D" w:rsidP="00222A8D">
      <w:pPr>
        <w:pStyle w:val="Prrafodelista"/>
        <w:jc w:val="both"/>
        <w:rPr>
          <w:rFonts w:ascii="Times New Roman" w:hAnsi="Times New Roman" w:cs="Times New Roman"/>
          <w:sz w:val="24"/>
          <w:szCs w:val="24"/>
          <w:lang w:val="es-AR"/>
        </w:rPr>
      </w:pPr>
      <w:r w:rsidRPr="007E37C9">
        <w:rPr>
          <w:rFonts w:ascii="Times New Roman" w:hAnsi="Times New Roman" w:cs="Times New Roman"/>
          <w:sz w:val="24"/>
          <w:szCs w:val="24"/>
          <w:lang w:val="es-AR"/>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222A8D" w:rsidRPr="007E37C9" w:rsidRDefault="00222A8D" w:rsidP="00222A8D">
      <w:pPr>
        <w:pStyle w:val="Prrafodelista"/>
        <w:jc w:val="both"/>
        <w:rPr>
          <w:rFonts w:ascii="Times New Roman" w:hAnsi="Times New Roman" w:cs="Times New Roman"/>
          <w:sz w:val="24"/>
          <w:szCs w:val="24"/>
          <w:lang w:val="es-AR"/>
        </w:rPr>
      </w:pPr>
      <w:r w:rsidRPr="007E37C9">
        <w:rPr>
          <w:rFonts w:ascii="Times New Roman" w:hAnsi="Times New Roman" w:cs="Times New Roman"/>
          <w:sz w:val="24"/>
          <w:szCs w:val="24"/>
          <w:lang w:val="es-AR"/>
        </w:rPr>
        <w:t xml:space="preserve">1) Las </w:t>
      </w:r>
      <w:proofErr w:type="spellStart"/>
      <w:r w:rsidRPr="007E37C9">
        <w:rPr>
          <w:rFonts w:ascii="Times New Roman" w:hAnsi="Times New Roman" w:cs="Times New Roman"/>
          <w:sz w:val="24"/>
          <w:szCs w:val="24"/>
          <w:lang w:val="es-AR"/>
        </w:rPr>
        <w:t>autodeclaraciones</w:t>
      </w:r>
      <w:proofErr w:type="spellEnd"/>
      <w:r w:rsidRPr="007E37C9">
        <w:rPr>
          <w:rFonts w:ascii="Times New Roman" w:hAnsi="Times New Roman" w:cs="Times New Roman"/>
          <w:sz w:val="24"/>
          <w:szCs w:val="24"/>
          <w:lang w:val="es-AR"/>
        </w:rPr>
        <w:t xml:space="preserve">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w:t>
      </w:r>
      <w:proofErr w:type="spellStart"/>
      <w:r w:rsidRPr="007E37C9">
        <w:rPr>
          <w:rFonts w:ascii="Times New Roman" w:hAnsi="Times New Roman" w:cs="Times New Roman"/>
          <w:sz w:val="24"/>
          <w:szCs w:val="24"/>
          <w:lang w:val="es-AR"/>
        </w:rPr>
        <w:t>autodeclaraciones</w:t>
      </w:r>
      <w:proofErr w:type="spellEnd"/>
      <w:r w:rsidRPr="007E37C9">
        <w:rPr>
          <w:rFonts w:ascii="Times New Roman" w:hAnsi="Times New Roman" w:cs="Times New Roman"/>
          <w:sz w:val="24"/>
          <w:szCs w:val="24"/>
          <w:lang w:val="es-AR"/>
        </w:rPr>
        <w:t xml:space="preserve">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222A8D" w:rsidRPr="007E37C9" w:rsidRDefault="00222A8D" w:rsidP="00222A8D">
      <w:pPr>
        <w:pStyle w:val="Prrafodelista"/>
        <w:jc w:val="both"/>
        <w:rPr>
          <w:rFonts w:ascii="Times New Roman" w:hAnsi="Times New Roman" w:cs="Times New Roman"/>
          <w:sz w:val="24"/>
          <w:szCs w:val="24"/>
          <w:lang w:val="es-AR"/>
        </w:rPr>
      </w:pPr>
      <w:r w:rsidRPr="007E37C9">
        <w:rPr>
          <w:rFonts w:ascii="Times New Roman" w:hAnsi="Times New Roman" w:cs="Times New Roman"/>
          <w:sz w:val="24"/>
          <w:szCs w:val="24"/>
          <w:lang w:val="es-AR"/>
        </w:rPr>
        <w:t xml:space="preserve">2)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empresarial comprobada –el número de criterios de sustentabilidad gestionados- y de acuerdo a la calidad del desempeño demostrado -midiendo la evolución que exhiba la implementación en relación a las metas propuestas en la planificación de base-. </w:t>
      </w:r>
    </w:p>
    <w:p w:rsidR="00222A8D" w:rsidRDefault="00222A8D" w:rsidP="00222A8D">
      <w:pPr>
        <w:pStyle w:val="Prrafodelista"/>
        <w:jc w:val="both"/>
        <w:rPr>
          <w:rFonts w:ascii="Times New Roman" w:hAnsi="Times New Roman" w:cs="Times New Roman"/>
          <w:b/>
          <w:sz w:val="24"/>
          <w:szCs w:val="24"/>
          <w:lang w:val="es-AR"/>
        </w:rPr>
      </w:pPr>
      <w:r w:rsidRPr="007E37C9">
        <w:rPr>
          <w:rFonts w:ascii="Times New Roman" w:hAnsi="Times New Roman" w:cs="Times New Roman"/>
          <w:sz w:val="24"/>
          <w:szCs w:val="24"/>
          <w:lang w:val="es-AR"/>
        </w:rPr>
        <w:t>3)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r>
        <w:rPr>
          <w:rFonts w:ascii="Times New Roman" w:hAnsi="Times New Roman" w:cs="Times New Roman"/>
          <w:sz w:val="24"/>
          <w:szCs w:val="24"/>
          <w:lang w:val="es-AR"/>
        </w:rPr>
        <w:t xml:space="preserve"> </w:t>
      </w:r>
    </w:p>
    <w:p w:rsidR="00222A8D" w:rsidRDefault="00222A8D" w:rsidP="00222A8D">
      <w:pPr>
        <w:pStyle w:val="Prrafodelista"/>
        <w:jc w:val="both"/>
        <w:rPr>
          <w:rFonts w:ascii="Times New Roman" w:hAnsi="Times New Roman" w:cs="Times New Roman"/>
          <w:b/>
          <w:sz w:val="24"/>
          <w:szCs w:val="24"/>
          <w:lang w:val="es-AR"/>
        </w:rPr>
      </w:pPr>
    </w:p>
    <w:p w:rsidR="00222A8D" w:rsidRDefault="00222A8D" w:rsidP="00222A8D">
      <w:pPr>
        <w:pStyle w:val="Prrafodelista"/>
        <w:numPr>
          <w:ilvl w:val="0"/>
          <w:numId w:val="1"/>
        </w:numPr>
        <w:jc w:val="both"/>
        <w:rPr>
          <w:rFonts w:ascii="Times New Roman" w:hAnsi="Times New Roman" w:cs="Times New Roman"/>
          <w:b/>
          <w:sz w:val="24"/>
          <w:szCs w:val="24"/>
          <w:lang w:val="es-AR"/>
        </w:rPr>
      </w:pPr>
      <w:r>
        <w:rPr>
          <w:rFonts w:ascii="Times New Roman" w:hAnsi="Times New Roman" w:cs="Times New Roman"/>
          <w:b/>
          <w:sz w:val="24"/>
          <w:szCs w:val="24"/>
          <w:lang w:val="es-AR"/>
        </w:rPr>
        <w:t>OFERTA ECONÓMICA (40)</w:t>
      </w:r>
    </w:p>
    <w:p w:rsidR="00222A8D" w:rsidRPr="007E37C9" w:rsidRDefault="00222A8D" w:rsidP="00222A8D">
      <w:pPr>
        <w:ind w:left="708"/>
        <w:jc w:val="both"/>
        <w:rPr>
          <w:rFonts w:ascii="Times New Roman" w:hAnsi="Times New Roman" w:cs="Times New Roman"/>
          <w:sz w:val="24"/>
          <w:szCs w:val="24"/>
          <w:lang w:val="es-AR"/>
        </w:rPr>
      </w:pPr>
      <w:r w:rsidRPr="007E37C9">
        <w:rPr>
          <w:rFonts w:ascii="Times New Roman" w:hAnsi="Times New Roman" w:cs="Times New Roman"/>
          <w:sz w:val="24"/>
          <w:szCs w:val="24"/>
          <w:lang w:val="es-AR"/>
        </w:rPr>
        <w:t>Para este rubro</w:t>
      </w:r>
      <w:r>
        <w:rPr>
          <w:rFonts w:ascii="Times New Roman" w:hAnsi="Times New Roman" w:cs="Times New Roman"/>
          <w:sz w:val="24"/>
          <w:szCs w:val="24"/>
          <w:lang w:val="es-AR"/>
        </w:rPr>
        <w:t xml:space="preserve"> se asignará el mayor puntaje (4</w:t>
      </w:r>
      <w:r w:rsidRPr="007E37C9">
        <w:rPr>
          <w:rFonts w:ascii="Times New Roman" w:hAnsi="Times New Roman" w:cs="Times New Roman"/>
          <w:sz w:val="24"/>
          <w:szCs w:val="24"/>
          <w:lang w:val="es-AR"/>
        </w:rPr>
        <w:t xml:space="preserve">0 puntos) a la oferta que, siendo formal y técnicamente admisible, resulte ser la de menor precio. Las demás serán puntuadas conforme la regla de proporcionalidad. </w:t>
      </w:r>
    </w:p>
    <w:p w:rsidR="00222A8D" w:rsidRDefault="00222A8D" w:rsidP="00222A8D">
      <w:pPr>
        <w:ind w:left="708"/>
        <w:jc w:val="both"/>
        <w:rPr>
          <w:rFonts w:ascii="Times New Roman" w:hAnsi="Times New Roman" w:cs="Times New Roman"/>
          <w:sz w:val="24"/>
          <w:szCs w:val="24"/>
          <w:lang w:val="es-AR"/>
        </w:rPr>
      </w:pPr>
      <w:r w:rsidRPr="007E37C9">
        <w:rPr>
          <w:rFonts w:ascii="Times New Roman" w:hAnsi="Times New Roman" w:cs="Times New Roman"/>
          <w:sz w:val="24"/>
          <w:szCs w:val="24"/>
          <w:lang w:val="es-AR"/>
        </w:rPr>
        <w:lastRenderedPageBreak/>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C42D71" w:rsidRPr="00222A8D" w:rsidRDefault="00C42D71" w:rsidP="00222A8D"/>
    <w:sectPr w:rsidR="00C42D71" w:rsidRPr="00222A8D" w:rsidSect="00222A8D">
      <w:pgSz w:w="11907" w:h="16839" w:code="9"/>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433"/>
    <w:multiLevelType w:val="hybridMultilevel"/>
    <w:tmpl w:val="75C80E6E"/>
    <w:lvl w:ilvl="0" w:tplc="8DD0F13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22E02811"/>
    <w:multiLevelType w:val="hybridMultilevel"/>
    <w:tmpl w:val="7E8666AE"/>
    <w:lvl w:ilvl="0" w:tplc="8DD0F13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44384839"/>
    <w:multiLevelType w:val="hybridMultilevel"/>
    <w:tmpl w:val="5908F2A2"/>
    <w:lvl w:ilvl="0" w:tplc="E2F2EBC8">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604B55D7"/>
    <w:multiLevelType w:val="hybridMultilevel"/>
    <w:tmpl w:val="9AD42B6A"/>
    <w:lvl w:ilvl="0" w:tplc="E522CC5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10121F8"/>
    <w:multiLevelType w:val="hybridMultilevel"/>
    <w:tmpl w:val="84EE4906"/>
    <w:lvl w:ilvl="0" w:tplc="DD3624D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90A6E9C"/>
    <w:multiLevelType w:val="hybridMultilevel"/>
    <w:tmpl w:val="3C74929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0A"/>
    <w:rsid w:val="00222A8D"/>
    <w:rsid w:val="00924091"/>
    <w:rsid w:val="00C42D71"/>
    <w:rsid w:val="00CE730A"/>
    <w:rsid w:val="00EA4A16"/>
    <w:rsid w:val="00F141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29C59-3AFE-41C7-9B68-5A441AA8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8D"/>
    <w:rPr>
      <w:rFonts w:asciiTheme="minorHAnsi" w:hAnsiTheme="minorHAnsi" w:cstheme="minorBidi"/>
      <w:sz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2A8D"/>
    <w:pPr>
      <w:ind w:left="720"/>
      <w:contextualSpacing/>
    </w:pPr>
  </w:style>
  <w:style w:type="table" w:styleId="Tablaconcuadrcula">
    <w:name w:val="Table Grid"/>
    <w:basedOn w:val="Tablanormal"/>
    <w:uiPriority w:val="59"/>
    <w:rsid w:val="00222A8D"/>
    <w:pPr>
      <w:spacing w:after="0" w:line="240" w:lineRule="auto"/>
    </w:pPr>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Nasi</dc:creator>
  <cp:keywords/>
  <dc:description/>
  <cp:lastModifiedBy>Roberto Cabaña</cp:lastModifiedBy>
  <cp:revision>2</cp:revision>
  <dcterms:created xsi:type="dcterms:W3CDTF">2022-03-07T15:09:00Z</dcterms:created>
  <dcterms:modified xsi:type="dcterms:W3CDTF">2022-03-07T15:09:00Z</dcterms:modified>
</cp:coreProperties>
</file>