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2BC" w:rsidRPr="00A667E5" w:rsidRDefault="00D552BC" w:rsidP="00A667E5">
      <w:pPr>
        <w:pStyle w:val="Descripcin"/>
        <w:keepNext/>
        <w:spacing w:line="360" w:lineRule="auto"/>
        <w:jc w:val="center"/>
        <w:rPr>
          <w:rFonts w:ascii="Arial" w:hAnsi="Arial" w:cs="Arial"/>
          <w:b/>
          <w:i w:val="0"/>
          <w:color w:val="auto"/>
          <w:sz w:val="24"/>
          <w:szCs w:val="24"/>
          <w:u w:val="single"/>
        </w:rPr>
      </w:pPr>
      <w:r w:rsidRPr="00A667E5">
        <w:rPr>
          <w:rFonts w:ascii="Arial" w:hAnsi="Arial" w:cs="Arial"/>
          <w:b/>
          <w:i w:val="0"/>
          <w:color w:val="auto"/>
          <w:sz w:val="24"/>
          <w:szCs w:val="24"/>
          <w:u w:val="single"/>
        </w:rPr>
        <w:t xml:space="preserve">GRILLA DE EVALUACIÓN DE OFERTA PARA LOS SERVICIOS DE VIANDAS Y </w:t>
      </w:r>
      <w:r w:rsidR="00437D54">
        <w:rPr>
          <w:rFonts w:ascii="Arial" w:hAnsi="Arial" w:cs="Arial"/>
          <w:b/>
          <w:i w:val="0"/>
          <w:color w:val="auto"/>
          <w:sz w:val="24"/>
          <w:szCs w:val="24"/>
          <w:u w:val="single"/>
        </w:rPr>
        <w:t>SNACK</w:t>
      </w:r>
    </w:p>
    <w:p w:rsidR="00D552BC" w:rsidRPr="00D552BC" w:rsidRDefault="00D552BC" w:rsidP="00D552BC">
      <w:pPr>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32"/>
        <w:gridCol w:w="1711"/>
      </w:tblGrid>
      <w:tr w:rsidR="00D552BC" w:rsidRPr="00D552BC" w:rsidTr="00EE3BC0">
        <w:trPr>
          <w:trHeight w:val="649"/>
          <w:jc w:val="center"/>
        </w:trPr>
        <w:tc>
          <w:tcPr>
            <w:tcW w:w="5132" w:type="dxa"/>
            <w:shd w:val="clear" w:color="auto" w:fill="auto"/>
            <w:tcMar>
              <w:top w:w="15" w:type="dxa"/>
              <w:left w:w="15" w:type="dxa"/>
              <w:bottom w:w="0" w:type="dxa"/>
              <w:right w:w="15" w:type="dxa"/>
            </w:tcMar>
            <w:vAlign w:val="center"/>
            <w:hideMark/>
          </w:tcPr>
          <w:p w:rsidR="00D552BC" w:rsidRPr="00D552BC" w:rsidRDefault="00D552BC" w:rsidP="00D552BC">
            <w:pPr>
              <w:jc w:val="both"/>
              <w:rPr>
                <w:rFonts w:ascii="Arial" w:hAnsi="Arial" w:cs="Arial"/>
                <w:b/>
                <w:bCs/>
                <w:sz w:val="24"/>
                <w:szCs w:val="24"/>
                <w:lang w:val="es-AR"/>
              </w:rPr>
            </w:pPr>
            <w:r w:rsidRPr="00D552BC">
              <w:rPr>
                <w:rFonts w:ascii="Arial" w:hAnsi="Arial" w:cs="Arial"/>
                <w:b/>
                <w:bCs/>
                <w:sz w:val="24"/>
                <w:szCs w:val="24"/>
                <w:lang w:val="es-AR"/>
              </w:rPr>
              <w:t>CRITERIO</w:t>
            </w:r>
          </w:p>
        </w:tc>
        <w:tc>
          <w:tcPr>
            <w:tcW w:w="1711" w:type="dxa"/>
            <w:shd w:val="clear" w:color="auto" w:fill="auto"/>
            <w:tcMar>
              <w:top w:w="15" w:type="dxa"/>
              <w:left w:w="15" w:type="dxa"/>
              <w:bottom w:w="0" w:type="dxa"/>
              <w:right w:w="15" w:type="dxa"/>
            </w:tcMar>
            <w:vAlign w:val="center"/>
            <w:hideMark/>
          </w:tcPr>
          <w:p w:rsidR="00D552BC" w:rsidRPr="00D552BC" w:rsidRDefault="00D552BC" w:rsidP="00D552BC">
            <w:pPr>
              <w:jc w:val="both"/>
              <w:rPr>
                <w:rFonts w:ascii="Arial" w:hAnsi="Arial" w:cs="Arial"/>
                <w:b/>
                <w:bCs/>
                <w:sz w:val="24"/>
                <w:szCs w:val="24"/>
                <w:lang w:val="es-AR"/>
              </w:rPr>
            </w:pPr>
            <w:r w:rsidRPr="00D552BC">
              <w:rPr>
                <w:rFonts w:ascii="Arial" w:hAnsi="Arial" w:cs="Arial"/>
                <w:b/>
                <w:bCs/>
                <w:sz w:val="24"/>
                <w:szCs w:val="24"/>
                <w:lang w:val="es-AR"/>
              </w:rPr>
              <w:t>PUNTAJE</w:t>
            </w:r>
          </w:p>
        </w:tc>
      </w:tr>
      <w:tr w:rsidR="00D552BC" w:rsidRPr="00D552BC" w:rsidTr="00EE3BC0">
        <w:trPr>
          <w:trHeight w:val="649"/>
          <w:jc w:val="center"/>
        </w:trPr>
        <w:tc>
          <w:tcPr>
            <w:tcW w:w="5132" w:type="dxa"/>
            <w:shd w:val="clear" w:color="auto" w:fill="auto"/>
            <w:tcMar>
              <w:top w:w="15" w:type="dxa"/>
              <w:left w:w="15" w:type="dxa"/>
              <w:bottom w:w="0" w:type="dxa"/>
              <w:right w:w="15" w:type="dxa"/>
            </w:tcMar>
            <w:vAlign w:val="center"/>
          </w:tcPr>
          <w:p w:rsidR="00D552BC" w:rsidRPr="00D552BC" w:rsidRDefault="00D552BC" w:rsidP="00D552BC">
            <w:pPr>
              <w:pStyle w:val="Prrafodelista"/>
              <w:numPr>
                <w:ilvl w:val="0"/>
                <w:numId w:val="2"/>
              </w:numPr>
              <w:rPr>
                <w:rFonts w:ascii="Arial" w:hAnsi="Arial" w:cs="Arial"/>
                <w:b/>
                <w:sz w:val="24"/>
                <w:szCs w:val="24"/>
                <w:lang w:val="es-AR"/>
              </w:rPr>
            </w:pPr>
            <w:r w:rsidRPr="00D552BC">
              <w:rPr>
                <w:rFonts w:ascii="Arial" w:hAnsi="Arial" w:cs="Arial"/>
                <w:b/>
                <w:sz w:val="24"/>
                <w:szCs w:val="24"/>
                <w:lang w:val="es-AR"/>
              </w:rPr>
              <w:t>Oferta económica</w:t>
            </w:r>
          </w:p>
        </w:tc>
        <w:tc>
          <w:tcPr>
            <w:tcW w:w="1711" w:type="dxa"/>
            <w:shd w:val="clear" w:color="auto" w:fill="auto"/>
            <w:tcMar>
              <w:top w:w="15" w:type="dxa"/>
              <w:left w:w="15" w:type="dxa"/>
              <w:bottom w:w="0" w:type="dxa"/>
              <w:right w:w="15" w:type="dxa"/>
            </w:tcMar>
            <w:vAlign w:val="center"/>
          </w:tcPr>
          <w:p w:rsidR="00D552BC" w:rsidRPr="00D552BC" w:rsidRDefault="00D552BC" w:rsidP="000D73BB">
            <w:pPr>
              <w:jc w:val="right"/>
              <w:rPr>
                <w:rFonts w:ascii="Arial" w:hAnsi="Arial" w:cs="Arial"/>
                <w:b/>
                <w:bCs/>
                <w:sz w:val="24"/>
                <w:szCs w:val="24"/>
                <w:lang w:val="es-AR"/>
              </w:rPr>
            </w:pPr>
            <w:r>
              <w:rPr>
                <w:rFonts w:ascii="Arial" w:hAnsi="Arial" w:cs="Arial"/>
                <w:b/>
                <w:bCs/>
                <w:sz w:val="24"/>
                <w:szCs w:val="24"/>
                <w:lang w:val="es-AR"/>
              </w:rPr>
              <w:t>50</w:t>
            </w:r>
          </w:p>
        </w:tc>
      </w:tr>
      <w:tr w:rsidR="00D552BC" w:rsidRPr="00D552BC" w:rsidTr="00EE3BC0">
        <w:trPr>
          <w:trHeight w:val="649"/>
          <w:jc w:val="center"/>
        </w:trPr>
        <w:tc>
          <w:tcPr>
            <w:tcW w:w="5132" w:type="dxa"/>
            <w:shd w:val="clear" w:color="auto" w:fill="auto"/>
            <w:tcMar>
              <w:top w:w="15" w:type="dxa"/>
              <w:left w:w="15" w:type="dxa"/>
              <w:bottom w:w="0" w:type="dxa"/>
              <w:right w:w="15" w:type="dxa"/>
            </w:tcMar>
            <w:vAlign w:val="center"/>
            <w:hideMark/>
          </w:tcPr>
          <w:p w:rsidR="00D552BC" w:rsidRPr="00D552BC" w:rsidRDefault="00D552BC" w:rsidP="00D552BC">
            <w:pPr>
              <w:numPr>
                <w:ilvl w:val="0"/>
                <w:numId w:val="2"/>
              </w:numPr>
              <w:jc w:val="both"/>
              <w:rPr>
                <w:rFonts w:ascii="Arial" w:hAnsi="Arial" w:cs="Arial"/>
                <w:b/>
                <w:sz w:val="24"/>
                <w:szCs w:val="24"/>
                <w:lang w:val="es-AR"/>
              </w:rPr>
            </w:pPr>
            <w:r w:rsidRPr="00D552BC">
              <w:rPr>
                <w:rFonts w:ascii="Arial" w:hAnsi="Arial" w:cs="Arial"/>
                <w:b/>
                <w:sz w:val="24"/>
                <w:szCs w:val="24"/>
                <w:lang w:val="es-AR"/>
              </w:rPr>
              <w:t>Calidad Técnica/Indicadores de Calidad</w:t>
            </w:r>
          </w:p>
        </w:tc>
        <w:tc>
          <w:tcPr>
            <w:tcW w:w="1711" w:type="dxa"/>
            <w:shd w:val="clear" w:color="auto" w:fill="auto"/>
            <w:tcMar>
              <w:top w:w="15" w:type="dxa"/>
              <w:left w:w="15" w:type="dxa"/>
              <w:bottom w:w="0" w:type="dxa"/>
              <w:right w:w="15" w:type="dxa"/>
            </w:tcMar>
            <w:vAlign w:val="center"/>
            <w:hideMark/>
          </w:tcPr>
          <w:p w:rsidR="00D552BC" w:rsidRPr="00D552BC" w:rsidRDefault="00D552BC" w:rsidP="000D73BB">
            <w:pPr>
              <w:jc w:val="right"/>
              <w:rPr>
                <w:rFonts w:ascii="Arial" w:hAnsi="Arial" w:cs="Arial"/>
                <w:b/>
                <w:bCs/>
                <w:sz w:val="24"/>
                <w:szCs w:val="24"/>
                <w:lang w:val="es-AR"/>
              </w:rPr>
            </w:pPr>
            <w:r w:rsidRPr="00D552BC">
              <w:rPr>
                <w:rFonts w:ascii="Arial" w:hAnsi="Arial" w:cs="Arial"/>
                <w:b/>
                <w:bCs/>
                <w:sz w:val="24"/>
                <w:szCs w:val="24"/>
                <w:lang w:val="es-AR"/>
              </w:rPr>
              <w:t>20</w:t>
            </w:r>
          </w:p>
        </w:tc>
      </w:tr>
      <w:tr w:rsidR="000D73BB" w:rsidRPr="00D552BC" w:rsidTr="000D73BB">
        <w:trPr>
          <w:trHeight w:val="649"/>
          <w:jc w:val="center"/>
        </w:trPr>
        <w:tc>
          <w:tcPr>
            <w:tcW w:w="51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D73BB" w:rsidRPr="00D552BC" w:rsidRDefault="002E1A06" w:rsidP="00EE3BC0">
            <w:pPr>
              <w:numPr>
                <w:ilvl w:val="0"/>
                <w:numId w:val="3"/>
              </w:numPr>
              <w:jc w:val="both"/>
              <w:rPr>
                <w:rFonts w:ascii="Arial" w:hAnsi="Arial" w:cs="Arial"/>
                <w:b/>
                <w:sz w:val="24"/>
                <w:szCs w:val="24"/>
                <w:lang w:val="es-AR"/>
              </w:rPr>
            </w:pPr>
            <w:r>
              <w:rPr>
                <w:rFonts w:ascii="Arial" w:hAnsi="Arial" w:cs="Arial"/>
                <w:b/>
                <w:sz w:val="24"/>
                <w:szCs w:val="24"/>
                <w:lang w:val="es-AR"/>
              </w:rPr>
              <w:t>A</w:t>
            </w:r>
            <w:r w:rsidR="00BE07A8">
              <w:rPr>
                <w:rFonts w:ascii="Arial" w:hAnsi="Arial" w:cs="Arial"/>
                <w:b/>
                <w:sz w:val="24"/>
                <w:szCs w:val="24"/>
                <w:lang w:val="es-AR"/>
              </w:rPr>
              <w:t>condicionamiento de las viandas y snack</w:t>
            </w:r>
          </w:p>
        </w:tc>
        <w:tc>
          <w:tcPr>
            <w:tcW w:w="17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D73BB" w:rsidRPr="00D552BC" w:rsidRDefault="000D73BB" w:rsidP="00BE07A8">
            <w:pPr>
              <w:rPr>
                <w:rFonts w:ascii="Arial" w:hAnsi="Arial" w:cs="Arial"/>
                <w:b/>
                <w:bCs/>
                <w:sz w:val="24"/>
                <w:szCs w:val="24"/>
                <w:lang w:val="es-AR"/>
              </w:rPr>
            </w:pPr>
            <w:r w:rsidRPr="00D552BC">
              <w:rPr>
                <w:rFonts w:ascii="Arial" w:hAnsi="Arial" w:cs="Arial"/>
                <w:b/>
                <w:bCs/>
                <w:sz w:val="24"/>
                <w:szCs w:val="24"/>
                <w:lang w:val="es-AR"/>
              </w:rPr>
              <w:t>(</w:t>
            </w:r>
            <w:r w:rsidR="00BE07A8">
              <w:rPr>
                <w:rFonts w:ascii="Arial" w:hAnsi="Arial" w:cs="Arial"/>
                <w:b/>
                <w:bCs/>
                <w:sz w:val="24"/>
                <w:szCs w:val="24"/>
                <w:lang w:val="es-AR"/>
              </w:rPr>
              <w:t>5</w:t>
            </w:r>
            <w:r w:rsidRPr="00D552BC">
              <w:rPr>
                <w:rFonts w:ascii="Arial" w:hAnsi="Arial" w:cs="Arial"/>
                <w:b/>
                <w:bCs/>
                <w:sz w:val="24"/>
                <w:szCs w:val="24"/>
                <w:lang w:val="es-AR"/>
              </w:rPr>
              <w:t>)</w:t>
            </w:r>
          </w:p>
        </w:tc>
      </w:tr>
      <w:tr w:rsidR="000D73BB" w:rsidRPr="00D552BC" w:rsidTr="000D73BB">
        <w:trPr>
          <w:trHeight w:val="649"/>
          <w:jc w:val="center"/>
        </w:trPr>
        <w:tc>
          <w:tcPr>
            <w:tcW w:w="51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D73BB" w:rsidRPr="00D552BC" w:rsidRDefault="002E1A06" w:rsidP="00EE3BC0">
            <w:pPr>
              <w:numPr>
                <w:ilvl w:val="0"/>
                <w:numId w:val="3"/>
              </w:numPr>
              <w:jc w:val="both"/>
              <w:rPr>
                <w:rFonts w:ascii="Arial" w:hAnsi="Arial" w:cs="Arial"/>
                <w:b/>
                <w:sz w:val="24"/>
                <w:szCs w:val="24"/>
                <w:lang w:val="es-AR"/>
              </w:rPr>
            </w:pPr>
            <w:r>
              <w:rPr>
                <w:rFonts w:ascii="Arial" w:hAnsi="Arial" w:cs="Arial"/>
                <w:b/>
                <w:sz w:val="24"/>
                <w:szCs w:val="24"/>
                <w:lang w:val="es-AR"/>
              </w:rPr>
              <w:t>Calidad alimentaria</w:t>
            </w:r>
          </w:p>
        </w:tc>
        <w:tc>
          <w:tcPr>
            <w:tcW w:w="17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D73BB" w:rsidRPr="00D552BC" w:rsidRDefault="000D73BB" w:rsidP="00BE07A8">
            <w:pPr>
              <w:rPr>
                <w:rFonts w:ascii="Arial" w:hAnsi="Arial" w:cs="Arial"/>
                <w:b/>
                <w:bCs/>
                <w:sz w:val="24"/>
                <w:szCs w:val="24"/>
                <w:lang w:val="es-AR"/>
              </w:rPr>
            </w:pPr>
            <w:r w:rsidRPr="00D552BC">
              <w:rPr>
                <w:rFonts w:ascii="Arial" w:hAnsi="Arial" w:cs="Arial"/>
                <w:b/>
                <w:bCs/>
                <w:sz w:val="24"/>
                <w:szCs w:val="24"/>
                <w:lang w:val="es-AR"/>
              </w:rPr>
              <w:t>(</w:t>
            </w:r>
            <w:r w:rsidR="00BE07A8">
              <w:rPr>
                <w:rFonts w:ascii="Arial" w:hAnsi="Arial" w:cs="Arial"/>
                <w:b/>
                <w:bCs/>
                <w:sz w:val="24"/>
                <w:szCs w:val="24"/>
                <w:lang w:val="es-AR"/>
              </w:rPr>
              <w:t>5</w:t>
            </w:r>
            <w:r w:rsidRPr="00D552BC">
              <w:rPr>
                <w:rFonts w:ascii="Arial" w:hAnsi="Arial" w:cs="Arial"/>
                <w:b/>
                <w:bCs/>
                <w:sz w:val="24"/>
                <w:szCs w:val="24"/>
                <w:lang w:val="es-AR"/>
              </w:rPr>
              <w:t>)</w:t>
            </w:r>
          </w:p>
        </w:tc>
      </w:tr>
      <w:tr w:rsidR="00BE07A8" w:rsidRPr="00D552BC" w:rsidTr="000D73BB">
        <w:trPr>
          <w:trHeight w:val="649"/>
          <w:jc w:val="center"/>
        </w:trPr>
        <w:tc>
          <w:tcPr>
            <w:tcW w:w="51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E07A8" w:rsidRDefault="002E1A06" w:rsidP="00845D26">
            <w:pPr>
              <w:numPr>
                <w:ilvl w:val="0"/>
                <w:numId w:val="3"/>
              </w:numPr>
              <w:jc w:val="both"/>
              <w:rPr>
                <w:rFonts w:ascii="Arial" w:hAnsi="Arial" w:cs="Arial"/>
                <w:b/>
                <w:sz w:val="24"/>
                <w:szCs w:val="24"/>
                <w:lang w:val="es-AR"/>
              </w:rPr>
            </w:pPr>
            <w:r>
              <w:rPr>
                <w:rFonts w:ascii="Arial" w:hAnsi="Arial" w:cs="Arial"/>
                <w:b/>
                <w:sz w:val="24"/>
                <w:szCs w:val="24"/>
                <w:lang w:val="es-AR"/>
              </w:rPr>
              <w:t>Proveedor local</w:t>
            </w:r>
          </w:p>
        </w:tc>
        <w:tc>
          <w:tcPr>
            <w:tcW w:w="17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E07A8" w:rsidRPr="00D552BC" w:rsidRDefault="00BE07A8" w:rsidP="002E1A06">
            <w:pPr>
              <w:rPr>
                <w:rFonts w:ascii="Arial" w:hAnsi="Arial" w:cs="Arial"/>
                <w:b/>
                <w:bCs/>
                <w:sz w:val="24"/>
                <w:szCs w:val="24"/>
                <w:lang w:val="es-AR"/>
              </w:rPr>
            </w:pPr>
            <w:r>
              <w:rPr>
                <w:rFonts w:ascii="Arial" w:hAnsi="Arial" w:cs="Arial"/>
                <w:b/>
                <w:bCs/>
                <w:sz w:val="24"/>
                <w:szCs w:val="24"/>
                <w:lang w:val="es-AR"/>
              </w:rPr>
              <w:t>(</w:t>
            </w:r>
            <w:r w:rsidR="002E1A06">
              <w:rPr>
                <w:rFonts w:ascii="Arial" w:hAnsi="Arial" w:cs="Arial"/>
                <w:b/>
                <w:bCs/>
                <w:sz w:val="24"/>
                <w:szCs w:val="24"/>
                <w:lang w:val="es-AR"/>
              </w:rPr>
              <w:t>10</w:t>
            </w:r>
            <w:r>
              <w:rPr>
                <w:rFonts w:ascii="Arial" w:hAnsi="Arial" w:cs="Arial"/>
                <w:b/>
                <w:bCs/>
                <w:sz w:val="24"/>
                <w:szCs w:val="24"/>
                <w:lang w:val="es-AR"/>
              </w:rPr>
              <w:t>)</w:t>
            </w:r>
          </w:p>
        </w:tc>
      </w:tr>
      <w:tr w:rsidR="00D552BC" w:rsidRPr="00D552BC" w:rsidTr="00EE3BC0">
        <w:trPr>
          <w:trHeight w:val="649"/>
          <w:jc w:val="center"/>
        </w:trPr>
        <w:tc>
          <w:tcPr>
            <w:tcW w:w="5132" w:type="dxa"/>
            <w:shd w:val="clear" w:color="auto" w:fill="auto"/>
            <w:tcMar>
              <w:top w:w="15" w:type="dxa"/>
              <w:left w:w="15" w:type="dxa"/>
              <w:bottom w:w="0" w:type="dxa"/>
              <w:right w:w="15" w:type="dxa"/>
            </w:tcMar>
            <w:vAlign w:val="center"/>
            <w:hideMark/>
          </w:tcPr>
          <w:p w:rsidR="00D552BC" w:rsidRPr="00D552BC" w:rsidRDefault="00D552BC" w:rsidP="00D552BC">
            <w:pPr>
              <w:numPr>
                <w:ilvl w:val="0"/>
                <w:numId w:val="2"/>
              </w:numPr>
              <w:jc w:val="both"/>
              <w:rPr>
                <w:rFonts w:ascii="Arial" w:hAnsi="Arial" w:cs="Arial"/>
                <w:b/>
                <w:sz w:val="24"/>
                <w:szCs w:val="24"/>
                <w:lang w:val="es-AR"/>
              </w:rPr>
            </w:pPr>
            <w:r w:rsidRPr="00D552BC">
              <w:rPr>
                <w:rFonts w:ascii="Arial" w:hAnsi="Arial" w:cs="Arial"/>
                <w:b/>
                <w:sz w:val="24"/>
                <w:szCs w:val="24"/>
                <w:lang w:val="es-AR"/>
              </w:rPr>
              <w:t>Antecedentes:</w:t>
            </w:r>
          </w:p>
        </w:tc>
        <w:tc>
          <w:tcPr>
            <w:tcW w:w="1711" w:type="dxa"/>
            <w:shd w:val="clear" w:color="auto" w:fill="auto"/>
            <w:tcMar>
              <w:top w:w="15" w:type="dxa"/>
              <w:left w:w="15" w:type="dxa"/>
              <w:bottom w:w="0" w:type="dxa"/>
              <w:right w:w="15" w:type="dxa"/>
            </w:tcMar>
            <w:vAlign w:val="center"/>
            <w:hideMark/>
          </w:tcPr>
          <w:p w:rsidR="00D552BC" w:rsidRDefault="000D73BB" w:rsidP="000D73BB">
            <w:pPr>
              <w:jc w:val="right"/>
              <w:rPr>
                <w:rFonts w:ascii="Arial" w:hAnsi="Arial" w:cs="Arial"/>
                <w:b/>
                <w:bCs/>
                <w:sz w:val="24"/>
                <w:szCs w:val="24"/>
                <w:lang w:val="es-AR"/>
              </w:rPr>
            </w:pPr>
            <w:r>
              <w:rPr>
                <w:rFonts w:ascii="Arial" w:hAnsi="Arial" w:cs="Arial"/>
                <w:b/>
                <w:bCs/>
                <w:sz w:val="24"/>
                <w:szCs w:val="24"/>
                <w:lang w:val="es-AR"/>
              </w:rPr>
              <w:t>20</w:t>
            </w:r>
          </w:p>
          <w:p w:rsidR="000D73BB" w:rsidRPr="00D552BC" w:rsidRDefault="000D73BB" w:rsidP="000D73BB">
            <w:pPr>
              <w:jc w:val="right"/>
              <w:rPr>
                <w:rFonts w:ascii="Arial" w:hAnsi="Arial" w:cs="Arial"/>
                <w:b/>
                <w:bCs/>
                <w:sz w:val="24"/>
                <w:szCs w:val="24"/>
                <w:lang w:val="es-AR"/>
              </w:rPr>
            </w:pPr>
          </w:p>
        </w:tc>
      </w:tr>
      <w:tr w:rsidR="000D73BB" w:rsidRPr="00D552BC" w:rsidTr="000D73BB">
        <w:trPr>
          <w:trHeight w:val="649"/>
          <w:jc w:val="center"/>
        </w:trPr>
        <w:tc>
          <w:tcPr>
            <w:tcW w:w="51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D73BB" w:rsidRPr="000D73BB" w:rsidRDefault="000D73BB" w:rsidP="000D73BB">
            <w:pPr>
              <w:pStyle w:val="Prrafodelista"/>
              <w:numPr>
                <w:ilvl w:val="0"/>
                <w:numId w:val="2"/>
              </w:numPr>
              <w:jc w:val="both"/>
              <w:rPr>
                <w:rFonts w:ascii="Arial" w:hAnsi="Arial" w:cs="Arial"/>
                <w:b/>
                <w:sz w:val="24"/>
                <w:szCs w:val="24"/>
                <w:lang w:val="es-AR"/>
              </w:rPr>
            </w:pPr>
            <w:r w:rsidRPr="000D73BB">
              <w:rPr>
                <w:rFonts w:ascii="Arial" w:hAnsi="Arial" w:cs="Arial"/>
                <w:b/>
                <w:sz w:val="24"/>
                <w:szCs w:val="24"/>
                <w:lang w:val="es-AR"/>
              </w:rPr>
              <w:t>Acreditación ODS s/ Ley 9193</w:t>
            </w:r>
          </w:p>
        </w:tc>
        <w:tc>
          <w:tcPr>
            <w:tcW w:w="17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D73BB" w:rsidRPr="00D552BC" w:rsidRDefault="000D73BB" w:rsidP="000D73BB">
            <w:pPr>
              <w:jc w:val="right"/>
              <w:rPr>
                <w:rFonts w:ascii="Arial" w:hAnsi="Arial" w:cs="Arial"/>
                <w:b/>
                <w:bCs/>
                <w:sz w:val="24"/>
                <w:szCs w:val="24"/>
                <w:lang w:val="es-AR"/>
              </w:rPr>
            </w:pPr>
            <w:r w:rsidRPr="00D552BC">
              <w:rPr>
                <w:rFonts w:ascii="Arial" w:hAnsi="Arial" w:cs="Arial"/>
                <w:b/>
                <w:bCs/>
                <w:sz w:val="24"/>
                <w:szCs w:val="24"/>
                <w:lang w:val="es-AR"/>
              </w:rPr>
              <w:t>10</w:t>
            </w:r>
          </w:p>
        </w:tc>
      </w:tr>
      <w:tr w:rsidR="00D552BC" w:rsidRPr="00D552BC" w:rsidTr="00EE3BC0">
        <w:trPr>
          <w:trHeight w:val="649"/>
          <w:jc w:val="center"/>
        </w:trPr>
        <w:tc>
          <w:tcPr>
            <w:tcW w:w="5132" w:type="dxa"/>
            <w:shd w:val="clear" w:color="auto" w:fill="auto"/>
            <w:tcMar>
              <w:top w:w="15" w:type="dxa"/>
              <w:left w:w="15" w:type="dxa"/>
              <w:bottom w:w="0" w:type="dxa"/>
              <w:right w:w="15" w:type="dxa"/>
            </w:tcMar>
            <w:vAlign w:val="center"/>
            <w:hideMark/>
          </w:tcPr>
          <w:p w:rsidR="00D552BC" w:rsidRPr="00D552BC" w:rsidRDefault="00D552BC" w:rsidP="00D552BC">
            <w:pPr>
              <w:jc w:val="both"/>
              <w:rPr>
                <w:rFonts w:ascii="Arial" w:hAnsi="Arial" w:cs="Arial"/>
                <w:b/>
                <w:bCs/>
                <w:sz w:val="24"/>
                <w:szCs w:val="24"/>
                <w:lang w:val="es-AR"/>
              </w:rPr>
            </w:pPr>
            <w:r w:rsidRPr="00D552BC">
              <w:rPr>
                <w:rFonts w:ascii="Arial" w:hAnsi="Arial" w:cs="Arial"/>
                <w:b/>
                <w:bCs/>
                <w:sz w:val="24"/>
                <w:szCs w:val="24"/>
                <w:lang w:val="es-AR"/>
              </w:rPr>
              <w:t>TOTAL</w:t>
            </w:r>
          </w:p>
        </w:tc>
        <w:tc>
          <w:tcPr>
            <w:tcW w:w="1711" w:type="dxa"/>
            <w:shd w:val="clear" w:color="auto" w:fill="auto"/>
            <w:tcMar>
              <w:top w:w="15" w:type="dxa"/>
              <w:left w:w="15" w:type="dxa"/>
              <w:bottom w:w="0" w:type="dxa"/>
              <w:right w:w="15" w:type="dxa"/>
            </w:tcMar>
            <w:vAlign w:val="center"/>
            <w:hideMark/>
          </w:tcPr>
          <w:p w:rsidR="00D552BC" w:rsidRPr="00D552BC" w:rsidRDefault="00D552BC" w:rsidP="000D73BB">
            <w:pPr>
              <w:jc w:val="right"/>
              <w:rPr>
                <w:rFonts w:ascii="Arial" w:hAnsi="Arial" w:cs="Arial"/>
                <w:b/>
                <w:bCs/>
                <w:sz w:val="24"/>
                <w:szCs w:val="24"/>
                <w:lang w:val="es-AR"/>
              </w:rPr>
            </w:pPr>
            <w:r w:rsidRPr="00D552BC">
              <w:rPr>
                <w:rFonts w:ascii="Arial" w:hAnsi="Arial" w:cs="Arial"/>
                <w:b/>
                <w:bCs/>
                <w:sz w:val="24"/>
                <w:szCs w:val="24"/>
                <w:lang w:val="es-AR"/>
              </w:rPr>
              <w:t>100</w:t>
            </w:r>
          </w:p>
        </w:tc>
      </w:tr>
    </w:tbl>
    <w:p w:rsidR="00D552BC" w:rsidRDefault="00D552BC" w:rsidP="00D552BC">
      <w:pPr>
        <w:jc w:val="both"/>
        <w:rPr>
          <w:rFonts w:ascii="Arial" w:hAnsi="Arial" w:cs="Arial"/>
          <w:sz w:val="24"/>
          <w:szCs w:val="24"/>
        </w:rPr>
      </w:pPr>
    </w:p>
    <w:p w:rsidR="00854114" w:rsidRPr="00854114" w:rsidRDefault="00854114" w:rsidP="00854114">
      <w:pPr>
        <w:jc w:val="both"/>
        <w:rPr>
          <w:rFonts w:ascii="Arial" w:hAnsi="Arial" w:cs="Arial"/>
          <w:sz w:val="24"/>
          <w:szCs w:val="24"/>
          <w:lang w:val="es-AR"/>
        </w:rPr>
      </w:pPr>
      <w:r w:rsidRPr="00854114">
        <w:rPr>
          <w:rFonts w:ascii="Arial" w:hAnsi="Arial" w:cs="Arial"/>
          <w:sz w:val="24"/>
          <w:szCs w:val="24"/>
          <w:lang w:val="es-AR"/>
        </w:rPr>
        <w:t xml:space="preserve">1) </w:t>
      </w:r>
      <w:r w:rsidRPr="00854114">
        <w:rPr>
          <w:rFonts w:ascii="Arial" w:hAnsi="Arial" w:cs="Arial"/>
          <w:b/>
          <w:bCs/>
          <w:sz w:val="24"/>
          <w:szCs w:val="24"/>
          <w:lang w:val="es-AR"/>
        </w:rPr>
        <w:t>Oferta Económica</w:t>
      </w:r>
      <w:r w:rsidRPr="00854114">
        <w:rPr>
          <w:rFonts w:ascii="Arial" w:hAnsi="Arial" w:cs="Arial"/>
          <w:sz w:val="24"/>
          <w:szCs w:val="24"/>
          <w:lang w:val="es-AR"/>
        </w:rPr>
        <w:t>: la oferta que proponga la prestación del servicio mediante la</w:t>
      </w:r>
      <w:r w:rsidR="006910E0">
        <w:rPr>
          <w:rFonts w:ascii="Arial" w:hAnsi="Arial" w:cs="Arial"/>
          <w:sz w:val="24"/>
          <w:szCs w:val="24"/>
          <w:lang w:val="es-AR"/>
        </w:rPr>
        <w:t xml:space="preserve"> </w:t>
      </w:r>
      <w:r w:rsidRPr="00854114">
        <w:rPr>
          <w:rFonts w:ascii="Arial" w:hAnsi="Arial" w:cs="Arial"/>
          <w:sz w:val="24"/>
          <w:szCs w:val="24"/>
          <w:lang w:val="es-AR"/>
        </w:rPr>
        <w:t xml:space="preserve">cotización más económica, obtendrá </w:t>
      </w:r>
      <w:r w:rsidRPr="00854114">
        <w:rPr>
          <w:rFonts w:ascii="Arial" w:hAnsi="Arial" w:cs="Arial"/>
          <w:b/>
          <w:bCs/>
          <w:sz w:val="24"/>
          <w:szCs w:val="24"/>
          <w:lang w:val="es-AR"/>
        </w:rPr>
        <w:t>el máximo puntaje (50 puntos)</w:t>
      </w:r>
      <w:r w:rsidRPr="00854114">
        <w:rPr>
          <w:rFonts w:ascii="Arial" w:hAnsi="Arial" w:cs="Arial"/>
          <w:sz w:val="24"/>
          <w:szCs w:val="24"/>
          <w:lang w:val="es-AR"/>
        </w:rPr>
        <w:t>. El orden de</w:t>
      </w:r>
      <w:r w:rsidR="006910E0">
        <w:rPr>
          <w:rFonts w:ascii="Arial" w:hAnsi="Arial" w:cs="Arial"/>
          <w:sz w:val="24"/>
          <w:szCs w:val="24"/>
          <w:lang w:val="es-AR"/>
        </w:rPr>
        <w:t xml:space="preserve"> </w:t>
      </w:r>
      <w:r w:rsidRPr="00854114">
        <w:rPr>
          <w:rFonts w:ascii="Arial" w:hAnsi="Arial" w:cs="Arial"/>
          <w:sz w:val="24"/>
          <w:szCs w:val="24"/>
          <w:lang w:val="es-AR"/>
        </w:rPr>
        <w:t>mérito para las demás ofertas se determinará conforme la regla de proporcionalidad</w:t>
      </w:r>
      <w:r w:rsidR="006910E0">
        <w:rPr>
          <w:rFonts w:ascii="Arial" w:hAnsi="Arial" w:cs="Arial"/>
          <w:sz w:val="24"/>
          <w:szCs w:val="24"/>
          <w:lang w:val="es-AR"/>
        </w:rPr>
        <w:t xml:space="preserve">.  </w:t>
      </w:r>
    </w:p>
    <w:p w:rsidR="00854114" w:rsidRDefault="00854114" w:rsidP="00854114">
      <w:pPr>
        <w:jc w:val="both"/>
        <w:rPr>
          <w:rFonts w:ascii="Arial" w:hAnsi="Arial" w:cs="Arial"/>
          <w:bCs/>
          <w:sz w:val="24"/>
          <w:szCs w:val="24"/>
          <w:lang w:val="es-AR"/>
        </w:rPr>
      </w:pPr>
      <w:r w:rsidRPr="00854114">
        <w:rPr>
          <w:rFonts w:ascii="Arial" w:hAnsi="Arial" w:cs="Arial"/>
          <w:sz w:val="24"/>
          <w:szCs w:val="24"/>
          <w:lang w:val="es-AR"/>
        </w:rPr>
        <w:t xml:space="preserve">2) </w:t>
      </w:r>
      <w:r w:rsidRPr="00854114">
        <w:rPr>
          <w:rFonts w:ascii="Arial" w:hAnsi="Arial" w:cs="Arial"/>
          <w:b/>
          <w:bCs/>
          <w:sz w:val="24"/>
          <w:szCs w:val="24"/>
          <w:lang w:val="es-AR"/>
        </w:rPr>
        <w:t xml:space="preserve">Requerimientos Técnicos: </w:t>
      </w:r>
      <w:r w:rsidRPr="00854114">
        <w:rPr>
          <w:rFonts w:ascii="Arial" w:hAnsi="Arial" w:cs="Arial"/>
          <w:sz w:val="24"/>
          <w:szCs w:val="24"/>
          <w:lang w:val="es-AR"/>
        </w:rPr>
        <w:t xml:space="preserve">se tendrán en cuenta las </w:t>
      </w:r>
      <w:r w:rsidR="006910E0">
        <w:rPr>
          <w:rFonts w:ascii="Arial" w:hAnsi="Arial" w:cs="Arial"/>
          <w:sz w:val="24"/>
          <w:szCs w:val="24"/>
          <w:lang w:val="es-AR"/>
        </w:rPr>
        <w:t xml:space="preserve">siguientes </w:t>
      </w:r>
      <w:r w:rsidRPr="00854114">
        <w:rPr>
          <w:rFonts w:ascii="Arial" w:hAnsi="Arial" w:cs="Arial"/>
          <w:sz w:val="24"/>
          <w:szCs w:val="24"/>
          <w:lang w:val="es-AR"/>
        </w:rPr>
        <w:t>condiciones</w:t>
      </w:r>
      <w:r w:rsidR="006910E0">
        <w:rPr>
          <w:rFonts w:ascii="Arial" w:hAnsi="Arial" w:cs="Arial"/>
          <w:sz w:val="24"/>
          <w:szCs w:val="24"/>
          <w:lang w:val="es-AR"/>
        </w:rPr>
        <w:t xml:space="preserve"> para las que en conjunto se asigna un </w:t>
      </w:r>
      <w:r w:rsidRPr="00854114">
        <w:rPr>
          <w:rFonts w:ascii="Arial" w:hAnsi="Arial" w:cs="Arial"/>
          <w:b/>
          <w:bCs/>
          <w:sz w:val="24"/>
          <w:szCs w:val="24"/>
          <w:lang w:val="es-AR"/>
        </w:rPr>
        <w:t>puntaje</w:t>
      </w:r>
      <w:r w:rsidR="006910E0">
        <w:rPr>
          <w:rFonts w:ascii="Arial" w:hAnsi="Arial" w:cs="Arial"/>
          <w:b/>
          <w:bCs/>
          <w:sz w:val="24"/>
          <w:szCs w:val="24"/>
          <w:lang w:val="es-AR"/>
        </w:rPr>
        <w:t xml:space="preserve"> máximo de</w:t>
      </w:r>
      <w:r w:rsidRPr="00854114">
        <w:rPr>
          <w:rFonts w:ascii="Arial" w:hAnsi="Arial" w:cs="Arial"/>
          <w:b/>
          <w:bCs/>
          <w:sz w:val="24"/>
          <w:szCs w:val="24"/>
          <w:lang w:val="es-AR"/>
        </w:rPr>
        <w:t xml:space="preserve"> 20 puntos</w:t>
      </w:r>
      <w:r w:rsidR="006910E0">
        <w:rPr>
          <w:rFonts w:ascii="Arial" w:hAnsi="Arial" w:cs="Arial"/>
          <w:b/>
          <w:bCs/>
          <w:sz w:val="24"/>
          <w:szCs w:val="24"/>
          <w:lang w:val="es-AR"/>
        </w:rPr>
        <w:t xml:space="preserve">: </w:t>
      </w:r>
    </w:p>
    <w:p w:rsidR="006910E0" w:rsidRDefault="00854114" w:rsidP="00854114">
      <w:pPr>
        <w:jc w:val="both"/>
        <w:rPr>
          <w:rFonts w:ascii="Arial" w:hAnsi="Arial" w:cs="Arial"/>
          <w:bCs/>
          <w:sz w:val="24"/>
          <w:szCs w:val="24"/>
          <w:lang w:val="es-AR"/>
        </w:rPr>
      </w:pPr>
      <w:r w:rsidRPr="00854114">
        <w:rPr>
          <w:rFonts w:ascii="Arial" w:hAnsi="Arial" w:cs="Arial"/>
          <w:b/>
          <w:bCs/>
          <w:sz w:val="24"/>
          <w:szCs w:val="24"/>
          <w:lang w:val="es-AR"/>
        </w:rPr>
        <w:t>a.</w:t>
      </w:r>
      <w:r>
        <w:rPr>
          <w:rFonts w:ascii="Arial" w:hAnsi="Arial" w:cs="Arial"/>
          <w:b/>
          <w:bCs/>
          <w:sz w:val="24"/>
          <w:szCs w:val="24"/>
          <w:lang w:val="es-AR"/>
        </w:rPr>
        <w:t xml:space="preserve"> </w:t>
      </w:r>
      <w:r w:rsidR="006910E0">
        <w:rPr>
          <w:rFonts w:ascii="Arial" w:hAnsi="Arial" w:cs="Arial"/>
          <w:b/>
          <w:bCs/>
          <w:sz w:val="24"/>
          <w:szCs w:val="24"/>
          <w:lang w:val="es-AR"/>
        </w:rPr>
        <w:t>A</w:t>
      </w:r>
      <w:r w:rsidRPr="00854114">
        <w:rPr>
          <w:rFonts w:ascii="Arial" w:hAnsi="Arial" w:cs="Arial"/>
          <w:b/>
          <w:bCs/>
          <w:sz w:val="24"/>
          <w:szCs w:val="24"/>
          <w:lang w:val="es-AR"/>
        </w:rPr>
        <w:t>condicionamiento de las viandas y snack</w:t>
      </w:r>
      <w:r w:rsidR="006910E0">
        <w:rPr>
          <w:rFonts w:ascii="Arial" w:hAnsi="Arial" w:cs="Arial"/>
          <w:b/>
          <w:bCs/>
          <w:sz w:val="24"/>
          <w:szCs w:val="24"/>
          <w:lang w:val="es-AR"/>
        </w:rPr>
        <w:t xml:space="preserve">: </w:t>
      </w:r>
      <w:r w:rsidR="00124095" w:rsidRPr="00124095">
        <w:rPr>
          <w:rFonts w:ascii="Arial" w:hAnsi="Arial" w:cs="Arial"/>
          <w:b/>
          <w:bCs/>
          <w:sz w:val="24"/>
          <w:szCs w:val="24"/>
          <w:lang w:val="es-AR"/>
        </w:rPr>
        <w:t>s</w:t>
      </w:r>
      <w:r w:rsidRPr="00124095">
        <w:rPr>
          <w:rFonts w:ascii="Arial" w:hAnsi="Arial" w:cs="Arial"/>
          <w:b/>
          <w:bCs/>
          <w:sz w:val="24"/>
          <w:szCs w:val="24"/>
          <w:lang w:val="es-AR"/>
        </w:rPr>
        <w:t xml:space="preserve">e otorgará el </w:t>
      </w:r>
      <w:r w:rsidR="006910E0">
        <w:rPr>
          <w:rFonts w:ascii="Arial" w:hAnsi="Arial" w:cs="Arial"/>
          <w:b/>
          <w:bCs/>
          <w:sz w:val="24"/>
          <w:szCs w:val="24"/>
          <w:lang w:val="es-AR"/>
        </w:rPr>
        <w:t>puntaje previsto (5 puntos)</w:t>
      </w:r>
      <w:r>
        <w:rPr>
          <w:rFonts w:ascii="Arial" w:hAnsi="Arial" w:cs="Arial"/>
          <w:bCs/>
          <w:sz w:val="24"/>
          <w:szCs w:val="24"/>
          <w:lang w:val="es-AR"/>
        </w:rPr>
        <w:t xml:space="preserve"> a las ofertas que </w:t>
      </w:r>
      <w:r w:rsidR="006910E0">
        <w:rPr>
          <w:rFonts w:ascii="Arial" w:hAnsi="Arial" w:cs="Arial"/>
          <w:bCs/>
          <w:sz w:val="24"/>
          <w:szCs w:val="24"/>
          <w:lang w:val="es-AR"/>
        </w:rPr>
        <w:t>propongan la prestación del servicio con element</w:t>
      </w:r>
      <w:r>
        <w:rPr>
          <w:rFonts w:ascii="Arial" w:hAnsi="Arial" w:cs="Arial"/>
          <w:bCs/>
          <w:sz w:val="24"/>
          <w:szCs w:val="24"/>
          <w:lang w:val="es-AR"/>
        </w:rPr>
        <w:t xml:space="preserve">os </w:t>
      </w:r>
      <w:r w:rsidR="006910E0">
        <w:rPr>
          <w:rFonts w:ascii="Arial" w:hAnsi="Arial" w:cs="Arial"/>
          <w:bCs/>
          <w:sz w:val="24"/>
          <w:szCs w:val="24"/>
          <w:lang w:val="es-AR"/>
        </w:rPr>
        <w:t>y/o envases de acondicionamiento descartables para el contenido de las viandas, fabricados con insumos reciclados. A estos efectos, los oferentes deberán acreditar fehacientemente la condición técnica señalada.</w:t>
      </w:r>
      <w:r w:rsidR="002E769D">
        <w:rPr>
          <w:rFonts w:ascii="Arial" w:hAnsi="Arial" w:cs="Arial"/>
          <w:bCs/>
          <w:sz w:val="24"/>
          <w:szCs w:val="24"/>
          <w:lang w:val="es-AR"/>
        </w:rPr>
        <w:t xml:space="preserve"> Las oferentes que no incluyan estas características no serán puntuadas en el presente indicador.</w:t>
      </w:r>
    </w:p>
    <w:p w:rsidR="00854114" w:rsidRPr="008B40FF" w:rsidRDefault="00854114" w:rsidP="00854114">
      <w:pPr>
        <w:jc w:val="both"/>
        <w:rPr>
          <w:rFonts w:ascii="Arial" w:hAnsi="Arial" w:cs="Arial"/>
          <w:bCs/>
          <w:sz w:val="24"/>
          <w:szCs w:val="24"/>
          <w:lang w:val="es-AR"/>
        </w:rPr>
      </w:pPr>
      <w:r w:rsidRPr="00854114">
        <w:rPr>
          <w:rFonts w:ascii="Arial" w:hAnsi="Arial" w:cs="Arial"/>
          <w:b/>
          <w:bCs/>
          <w:sz w:val="24"/>
          <w:szCs w:val="24"/>
          <w:lang w:val="es-AR"/>
        </w:rPr>
        <w:lastRenderedPageBreak/>
        <w:t>b.</w:t>
      </w:r>
      <w:r w:rsidRPr="00854114">
        <w:rPr>
          <w:rFonts w:ascii="Arial" w:hAnsi="Arial" w:cs="Arial"/>
          <w:b/>
          <w:bCs/>
          <w:sz w:val="24"/>
          <w:szCs w:val="24"/>
          <w:lang w:val="es-AR"/>
        </w:rPr>
        <w:tab/>
      </w:r>
      <w:r w:rsidR="002E769D">
        <w:rPr>
          <w:rFonts w:ascii="Arial" w:hAnsi="Arial" w:cs="Arial"/>
          <w:b/>
          <w:bCs/>
          <w:sz w:val="24"/>
          <w:szCs w:val="24"/>
          <w:lang w:val="es-AR"/>
        </w:rPr>
        <w:t xml:space="preserve">Calidad alimentaria: </w:t>
      </w:r>
      <w:r w:rsidR="008B40FF">
        <w:rPr>
          <w:rFonts w:ascii="Arial" w:hAnsi="Arial" w:cs="Arial"/>
          <w:b/>
          <w:bCs/>
          <w:sz w:val="24"/>
          <w:szCs w:val="24"/>
          <w:lang w:val="es-AR"/>
        </w:rPr>
        <w:t>S</w:t>
      </w:r>
      <w:r w:rsidR="008B40FF" w:rsidRPr="008B40FF">
        <w:rPr>
          <w:rFonts w:ascii="Arial" w:hAnsi="Arial" w:cs="Arial"/>
          <w:b/>
          <w:bCs/>
          <w:sz w:val="24"/>
          <w:szCs w:val="24"/>
          <w:lang w:val="es-AR"/>
        </w:rPr>
        <w:t>e otorgará el puntaje</w:t>
      </w:r>
      <w:r w:rsidR="002E769D">
        <w:rPr>
          <w:rFonts w:ascii="Arial" w:hAnsi="Arial" w:cs="Arial"/>
          <w:b/>
          <w:bCs/>
          <w:sz w:val="24"/>
          <w:szCs w:val="24"/>
          <w:lang w:val="es-AR"/>
        </w:rPr>
        <w:t xml:space="preserve"> previsto</w:t>
      </w:r>
      <w:r w:rsidR="008B40FF" w:rsidRPr="008B40FF">
        <w:rPr>
          <w:rFonts w:ascii="Arial" w:hAnsi="Arial" w:cs="Arial"/>
          <w:b/>
          <w:bCs/>
          <w:sz w:val="24"/>
          <w:szCs w:val="24"/>
          <w:lang w:val="es-AR"/>
        </w:rPr>
        <w:t xml:space="preserve"> (5 puntos</w:t>
      </w:r>
      <w:r w:rsidR="002E769D">
        <w:rPr>
          <w:rFonts w:ascii="Arial" w:hAnsi="Arial" w:cs="Arial"/>
          <w:b/>
          <w:bCs/>
          <w:sz w:val="24"/>
          <w:szCs w:val="24"/>
          <w:lang w:val="es-AR"/>
        </w:rPr>
        <w:t>)</w:t>
      </w:r>
      <w:r w:rsidR="008B40FF" w:rsidRPr="008B40FF">
        <w:rPr>
          <w:rFonts w:ascii="Arial" w:hAnsi="Arial" w:cs="Arial"/>
          <w:b/>
          <w:bCs/>
          <w:sz w:val="24"/>
          <w:szCs w:val="24"/>
          <w:lang w:val="es-AR"/>
        </w:rPr>
        <w:t xml:space="preserve"> </w:t>
      </w:r>
      <w:r w:rsidR="008B40FF" w:rsidRPr="008B40FF">
        <w:rPr>
          <w:rFonts w:ascii="Arial" w:hAnsi="Arial" w:cs="Arial"/>
          <w:bCs/>
          <w:sz w:val="24"/>
          <w:szCs w:val="24"/>
          <w:lang w:val="es-AR"/>
        </w:rPr>
        <w:t>a las ofertas que</w:t>
      </w:r>
      <w:r w:rsidR="002E769D">
        <w:rPr>
          <w:rFonts w:ascii="Arial" w:hAnsi="Arial" w:cs="Arial"/>
          <w:bCs/>
          <w:sz w:val="24"/>
          <w:szCs w:val="24"/>
          <w:lang w:val="es-AR"/>
        </w:rPr>
        <w:t xml:space="preserve"> detallen de manera específica y completa la calidad y tipo de alimentos que contendrán las viandas a proveer (por ej. la vianda será elaborada con </w:t>
      </w:r>
      <w:r w:rsidR="008B40FF">
        <w:rPr>
          <w:rFonts w:ascii="Arial" w:hAnsi="Arial" w:cs="Arial"/>
          <w:bCs/>
          <w:sz w:val="24"/>
          <w:szCs w:val="24"/>
          <w:lang w:val="es-AR"/>
        </w:rPr>
        <w:t>arroz tipo parboil 000</w:t>
      </w:r>
      <w:r w:rsidR="002E769D">
        <w:rPr>
          <w:rFonts w:ascii="Arial" w:hAnsi="Arial" w:cs="Arial"/>
          <w:bCs/>
          <w:sz w:val="24"/>
          <w:szCs w:val="24"/>
          <w:lang w:val="es-AR"/>
        </w:rPr>
        <w:t xml:space="preserve"> marca ….</w:t>
      </w:r>
      <w:r w:rsidR="008B40FF">
        <w:rPr>
          <w:rFonts w:ascii="Arial" w:hAnsi="Arial" w:cs="Arial"/>
          <w:bCs/>
          <w:sz w:val="24"/>
          <w:szCs w:val="24"/>
          <w:lang w:val="es-AR"/>
        </w:rPr>
        <w:t>,</w:t>
      </w:r>
      <w:r w:rsidR="002E769D">
        <w:rPr>
          <w:rFonts w:ascii="Arial" w:hAnsi="Arial" w:cs="Arial"/>
          <w:bCs/>
          <w:sz w:val="24"/>
          <w:szCs w:val="24"/>
          <w:lang w:val="es-AR"/>
        </w:rPr>
        <w:t xml:space="preserve"> con lomo liso de ternera adquirido en carnicería ….., con pollo eviscerado fresco de la Granja …)</w:t>
      </w:r>
      <w:r w:rsidR="008B40FF">
        <w:rPr>
          <w:rFonts w:ascii="Arial" w:hAnsi="Arial" w:cs="Arial"/>
          <w:bCs/>
          <w:sz w:val="24"/>
          <w:szCs w:val="24"/>
          <w:lang w:val="es-AR"/>
        </w:rPr>
        <w:t>.</w:t>
      </w:r>
      <w:r w:rsidR="002E769D">
        <w:rPr>
          <w:rFonts w:ascii="Arial" w:hAnsi="Arial" w:cs="Arial"/>
          <w:bCs/>
          <w:sz w:val="24"/>
          <w:szCs w:val="24"/>
          <w:lang w:val="es-AR"/>
        </w:rPr>
        <w:t xml:space="preserve"> Las ofertas con información insuficiente o parcial no</w:t>
      </w:r>
      <w:r w:rsidR="008B40FF">
        <w:rPr>
          <w:rFonts w:ascii="Arial" w:hAnsi="Arial" w:cs="Arial"/>
          <w:bCs/>
          <w:sz w:val="24"/>
          <w:szCs w:val="24"/>
          <w:lang w:val="es-AR"/>
        </w:rPr>
        <w:t xml:space="preserve"> serán puntuad</w:t>
      </w:r>
      <w:r w:rsidR="002E769D">
        <w:rPr>
          <w:rFonts w:ascii="Arial" w:hAnsi="Arial" w:cs="Arial"/>
          <w:bCs/>
          <w:sz w:val="24"/>
          <w:szCs w:val="24"/>
          <w:lang w:val="es-AR"/>
        </w:rPr>
        <w:t>as</w:t>
      </w:r>
      <w:r w:rsidR="008B40FF">
        <w:rPr>
          <w:rFonts w:ascii="Arial" w:hAnsi="Arial" w:cs="Arial"/>
          <w:bCs/>
          <w:sz w:val="24"/>
          <w:szCs w:val="24"/>
          <w:lang w:val="es-AR"/>
        </w:rPr>
        <w:t xml:space="preserve">. </w:t>
      </w:r>
    </w:p>
    <w:p w:rsidR="00854114" w:rsidRPr="00A0752C" w:rsidRDefault="00854114" w:rsidP="00A0752C">
      <w:pPr>
        <w:jc w:val="both"/>
        <w:rPr>
          <w:rFonts w:ascii="Arial" w:hAnsi="Arial" w:cs="Arial"/>
          <w:sz w:val="24"/>
          <w:szCs w:val="24"/>
          <w:lang w:val="es-AR"/>
        </w:rPr>
      </w:pPr>
      <w:r w:rsidRPr="00854114">
        <w:rPr>
          <w:rFonts w:ascii="Arial" w:hAnsi="Arial" w:cs="Arial"/>
          <w:b/>
          <w:bCs/>
          <w:sz w:val="24"/>
          <w:szCs w:val="24"/>
          <w:lang w:val="es-AR"/>
        </w:rPr>
        <w:t>c.</w:t>
      </w:r>
      <w:r w:rsidRPr="00854114">
        <w:rPr>
          <w:rFonts w:ascii="Arial" w:hAnsi="Arial" w:cs="Arial"/>
          <w:b/>
          <w:bCs/>
          <w:sz w:val="24"/>
          <w:szCs w:val="24"/>
          <w:lang w:val="es-AR"/>
        </w:rPr>
        <w:tab/>
      </w:r>
      <w:r w:rsidR="002E769D">
        <w:rPr>
          <w:rFonts w:ascii="Arial" w:hAnsi="Arial" w:cs="Arial"/>
          <w:b/>
          <w:bCs/>
          <w:sz w:val="24"/>
          <w:szCs w:val="24"/>
          <w:lang w:val="es-AR"/>
        </w:rPr>
        <w:t>Proveedor</w:t>
      </w:r>
      <w:r w:rsidR="00A0752C">
        <w:rPr>
          <w:rFonts w:ascii="Arial" w:hAnsi="Arial" w:cs="Arial"/>
          <w:b/>
          <w:bCs/>
          <w:sz w:val="24"/>
          <w:szCs w:val="24"/>
          <w:lang w:val="es-AR"/>
        </w:rPr>
        <w:t xml:space="preserve"> Local: </w:t>
      </w:r>
      <w:r w:rsidR="00A0752C" w:rsidRPr="00A0752C">
        <w:rPr>
          <w:rFonts w:ascii="Arial" w:hAnsi="Arial" w:cs="Arial"/>
          <w:b/>
          <w:bCs/>
          <w:sz w:val="24"/>
          <w:szCs w:val="24"/>
          <w:lang w:val="es-AR"/>
        </w:rPr>
        <w:t xml:space="preserve">Se otorgará el </w:t>
      </w:r>
      <w:r w:rsidR="00A0752C">
        <w:rPr>
          <w:rFonts w:ascii="Arial" w:hAnsi="Arial" w:cs="Arial"/>
          <w:b/>
          <w:bCs/>
          <w:sz w:val="24"/>
          <w:szCs w:val="24"/>
          <w:lang w:val="es-AR"/>
        </w:rPr>
        <w:t xml:space="preserve">máximo </w:t>
      </w:r>
      <w:r w:rsidR="00A0752C" w:rsidRPr="00A0752C">
        <w:rPr>
          <w:rFonts w:ascii="Arial" w:hAnsi="Arial" w:cs="Arial"/>
          <w:b/>
          <w:bCs/>
          <w:sz w:val="24"/>
          <w:szCs w:val="24"/>
          <w:lang w:val="es-AR"/>
        </w:rPr>
        <w:t>puntaje previsto (</w:t>
      </w:r>
      <w:r w:rsidR="00A0752C">
        <w:rPr>
          <w:rFonts w:ascii="Arial" w:hAnsi="Arial" w:cs="Arial"/>
          <w:b/>
          <w:bCs/>
          <w:sz w:val="24"/>
          <w:szCs w:val="24"/>
          <w:lang w:val="es-AR"/>
        </w:rPr>
        <w:t>10</w:t>
      </w:r>
      <w:r w:rsidR="00A0752C" w:rsidRPr="00A0752C">
        <w:rPr>
          <w:rFonts w:ascii="Arial" w:hAnsi="Arial" w:cs="Arial"/>
          <w:b/>
          <w:bCs/>
          <w:sz w:val="24"/>
          <w:szCs w:val="24"/>
          <w:lang w:val="es-AR"/>
        </w:rPr>
        <w:t xml:space="preserve"> puntos) </w:t>
      </w:r>
      <w:r w:rsidR="00A0752C" w:rsidRPr="00A0752C">
        <w:rPr>
          <w:rFonts w:ascii="Arial" w:hAnsi="Arial" w:cs="Arial"/>
          <w:bCs/>
          <w:sz w:val="24"/>
          <w:szCs w:val="24"/>
          <w:lang w:val="es-AR"/>
        </w:rPr>
        <w:t>a las ofertas que demuestren documentadamente el mayor número de vinculaciones comerciales con proveedores de origen provincial que revistan la condición de productores de los insumos alimentarios que compondrán el contenido de las viandas (ej. Empresa … productora de durazno de su cosecha de la finca ubicada en …. Eugenio Bustos, San Carlos, Mendoza; carne de ternera empresa ganadera de Gral Alvear, Mendoza, pastas frabricadas por la empresa … en su planta elaboradora ubicada en Guaymallén, Mendoza). Las demás ofertas serán puntuadas conforme la regla de la proporcionalidad en función de las vinculaciones comerciales acreditadas.</w:t>
      </w:r>
    </w:p>
    <w:p w:rsidR="00854114" w:rsidRPr="00854114" w:rsidRDefault="00854114" w:rsidP="00854114">
      <w:pPr>
        <w:jc w:val="both"/>
        <w:rPr>
          <w:rFonts w:ascii="Arial" w:hAnsi="Arial" w:cs="Arial"/>
          <w:sz w:val="24"/>
          <w:szCs w:val="24"/>
          <w:lang w:val="es-AR"/>
        </w:rPr>
      </w:pPr>
      <w:r w:rsidRPr="00854114">
        <w:rPr>
          <w:rFonts w:ascii="Arial" w:hAnsi="Arial" w:cs="Arial"/>
          <w:sz w:val="24"/>
          <w:szCs w:val="24"/>
          <w:lang w:val="es-AR"/>
        </w:rPr>
        <w:t xml:space="preserve">3) </w:t>
      </w:r>
      <w:r w:rsidRPr="00854114">
        <w:rPr>
          <w:rFonts w:ascii="Arial" w:hAnsi="Arial" w:cs="Arial"/>
          <w:b/>
          <w:bCs/>
          <w:sz w:val="24"/>
          <w:szCs w:val="24"/>
          <w:lang w:val="es-AR"/>
        </w:rPr>
        <w:t xml:space="preserve">Antecedentes Empresariales: </w:t>
      </w:r>
      <w:r w:rsidRPr="00854114">
        <w:rPr>
          <w:rFonts w:ascii="Arial" w:hAnsi="Arial" w:cs="Arial"/>
          <w:sz w:val="24"/>
          <w:szCs w:val="24"/>
          <w:lang w:val="es-AR"/>
        </w:rPr>
        <w:t xml:space="preserve">Se otorgará el máximo puntaje </w:t>
      </w:r>
      <w:r w:rsidRPr="00854114">
        <w:rPr>
          <w:rFonts w:ascii="Arial" w:hAnsi="Arial" w:cs="Arial"/>
          <w:b/>
          <w:bCs/>
          <w:sz w:val="24"/>
          <w:szCs w:val="24"/>
          <w:lang w:val="es-AR"/>
        </w:rPr>
        <w:t xml:space="preserve">(20 puntos) </w:t>
      </w:r>
      <w:r w:rsidRPr="00854114">
        <w:rPr>
          <w:rFonts w:ascii="Arial" w:hAnsi="Arial" w:cs="Arial"/>
          <w:sz w:val="24"/>
          <w:szCs w:val="24"/>
          <w:lang w:val="es-AR"/>
        </w:rPr>
        <w:t>previsto alas/los oferentes que acrediten poseer el mayor número de antecedentes certificados de</w:t>
      </w:r>
      <w:r w:rsidR="00A0752C">
        <w:rPr>
          <w:rFonts w:ascii="Arial" w:hAnsi="Arial" w:cs="Arial"/>
          <w:sz w:val="24"/>
          <w:szCs w:val="24"/>
          <w:lang w:val="es-AR"/>
        </w:rPr>
        <w:t xml:space="preserve"> </w:t>
      </w:r>
      <w:r w:rsidRPr="00854114">
        <w:rPr>
          <w:rFonts w:ascii="Arial" w:hAnsi="Arial" w:cs="Arial"/>
          <w:sz w:val="24"/>
          <w:szCs w:val="24"/>
          <w:lang w:val="es-AR"/>
        </w:rPr>
        <w:t>comitentes o contratantes, a quienes se les haya prestado servicios de características de</w:t>
      </w:r>
      <w:r w:rsidR="00A0752C">
        <w:rPr>
          <w:rFonts w:ascii="Arial" w:hAnsi="Arial" w:cs="Arial"/>
          <w:sz w:val="24"/>
          <w:szCs w:val="24"/>
          <w:lang w:val="es-AR"/>
        </w:rPr>
        <w:t xml:space="preserve"> </w:t>
      </w:r>
      <w:r w:rsidRPr="00854114">
        <w:rPr>
          <w:rFonts w:ascii="Arial" w:hAnsi="Arial" w:cs="Arial"/>
          <w:sz w:val="24"/>
          <w:szCs w:val="24"/>
          <w:lang w:val="es-AR"/>
        </w:rPr>
        <w:t>importancia similar al requerido por el objeto de la contratación, dentro del período</w:t>
      </w:r>
      <w:r w:rsidR="00A0752C">
        <w:rPr>
          <w:rFonts w:ascii="Arial" w:hAnsi="Arial" w:cs="Arial"/>
          <w:sz w:val="24"/>
          <w:szCs w:val="24"/>
          <w:lang w:val="es-AR"/>
        </w:rPr>
        <w:t xml:space="preserve"> </w:t>
      </w:r>
      <w:r w:rsidRPr="00854114">
        <w:rPr>
          <w:rFonts w:ascii="Arial" w:hAnsi="Arial" w:cs="Arial"/>
          <w:sz w:val="24"/>
          <w:szCs w:val="24"/>
          <w:lang w:val="es-AR"/>
        </w:rPr>
        <w:t>aproximado de dos años previos a la fecha de la convocatoria. Para ponderar</w:t>
      </w:r>
      <w:r w:rsidR="00A0752C">
        <w:rPr>
          <w:rFonts w:ascii="Arial" w:hAnsi="Arial" w:cs="Arial"/>
          <w:sz w:val="24"/>
          <w:szCs w:val="24"/>
          <w:lang w:val="es-AR"/>
        </w:rPr>
        <w:t xml:space="preserve"> </w:t>
      </w:r>
      <w:r w:rsidRPr="00854114">
        <w:rPr>
          <w:rFonts w:ascii="Arial" w:hAnsi="Arial" w:cs="Arial"/>
          <w:sz w:val="24"/>
          <w:szCs w:val="24"/>
          <w:lang w:val="es-AR"/>
        </w:rPr>
        <w:t>antecedentes se tendrá en cuenta tanto los antecedentes internos como los que presenten</w:t>
      </w:r>
      <w:r w:rsidR="00A0752C">
        <w:rPr>
          <w:rFonts w:ascii="Arial" w:hAnsi="Arial" w:cs="Arial"/>
          <w:sz w:val="24"/>
          <w:szCs w:val="24"/>
          <w:lang w:val="es-AR"/>
        </w:rPr>
        <w:t xml:space="preserve"> </w:t>
      </w:r>
      <w:r w:rsidRPr="00854114">
        <w:rPr>
          <w:rFonts w:ascii="Arial" w:hAnsi="Arial" w:cs="Arial"/>
          <w:sz w:val="24"/>
          <w:szCs w:val="24"/>
          <w:lang w:val="es-AR"/>
        </w:rPr>
        <w:t>los proveedores y todo antecedente vinculado a la actividad que presenten en los</w:t>
      </w:r>
      <w:r w:rsidR="00A0752C">
        <w:rPr>
          <w:rFonts w:ascii="Arial" w:hAnsi="Arial" w:cs="Arial"/>
          <w:sz w:val="24"/>
          <w:szCs w:val="24"/>
          <w:lang w:val="es-AR"/>
        </w:rPr>
        <w:t xml:space="preserve"> </w:t>
      </w:r>
      <w:r w:rsidRPr="00854114">
        <w:rPr>
          <w:rFonts w:ascii="Arial" w:hAnsi="Arial" w:cs="Arial"/>
          <w:sz w:val="24"/>
          <w:szCs w:val="24"/>
          <w:lang w:val="es-AR"/>
        </w:rPr>
        <w:t>requisitos técnicos (seguros, 931, protocolos, capacitaciones, etc.) El orden de mérito</w:t>
      </w:r>
      <w:r w:rsidR="00A0752C">
        <w:rPr>
          <w:rFonts w:ascii="Arial" w:hAnsi="Arial" w:cs="Arial"/>
          <w:sz w:val="24"/>
          <w:szCs w:val="24"/>
          <w:lang w:val="es-AR"/>
        </w:rPr>
        <w:t xml:space="preserve"> </w:t>
      </w:r>
      <w:r w:rsidRPr="00854114">
        <w:rPr>
          <w:rFonts w:ascii="Arial" w:hAnsi="Arial" w:cs="Arial"/>
          <w:sz w:val="24"/>
          <w:szCs w:val="24"/>
          <w:lang w:val="es-AR"/>
        </w:rPr>
        <w:t>para las ofertas se determinará conforme la regla de proporcionalidad de cada aspecto</w:t>
      </w:r>
      <w:r w:rsidR="00A0752C">
        <w:rPr>
          <w:rFonts w:ascii="Arial" w:hAnsi="Arial" w:cs="Arial"/>
          <w:sz w:val="24"/>
          <w:szCs w:val="24"/>
          <w:lang w:val="es-AR"/>
        </w:rPr>
        <w:t xml:space="preserve"> </w:t>
      </w:r>
      <w:r w:rsidRPr="00854114">
        <w:rPr>
          <w:rFonts w:ascii="Arial" w:hAnsi="Arial" w:cs="Arial"/>
          <w:sz w:val="24"/>
          <w:szCs w:val="24"/>
          <w:lang w:val="es-AR"/>
        </w:rPr>
        <w:t>evaluado y conforme a los criterios que surjan de los mismos</w:t>
      </w:r>
    </w:p>
    <w:p w:rsidR="00854114" w:rsidRDefault="00854114" w:rsidP="00A0752C">
      <w:pPr>
        <w:jc w:val="both"/>
        <w:rPr>
          <w:rFonts w:ascii="Arial" w:hAnsi="Arial" w:cs="Arial"/>
          <w:sz w:val="24"/>
          <w:szCs w:val="24"/>
          <w:lang w:val="es-AR"/>
        </w:rPr>
      </w:pPr>
      <w:r w:rsidRPr="00854114">
        <w:rPr>
          <w:rFonts w:ascii="Arial" w:hAnsi="Arial" w:cs="Arial"/>
          <w:sz w:val="24"/>
          <w:szCs w:val="24"/>
          <w:lang w:val="es-AR"/>
        </w:rPr>
        <w:t xml:space="preserve">4) </w:t>
      </w:r>
      <w:r w:rsidRPr="00854114">
        <w:rPr>
          <w:rFonts w:ascii="Arial" w:hAnsi="Arial" w:cs="Arial"/>
          <w:b/>
          <w:bCs/>
          <w:sz w:val="24"/>
          <w:szCs w:val="24"/>
          <w:lang w:val="es-AR"/>
        </w:rPr>
        <w:t xml:space="preserve">Acreditación ODS s/ Ley 9193): </w:t>
      </w:r>
      <w:r w:rsidRPr="00854114">
        <w:rPr>
          <w:rFonts w:ascii="Arial" w:hAnsi="Arial" w:cs="Arial"/>
          <w:sz w:val="24"/>
          <w:szCs w:val="24"/>
          <w:lang w:val="es-AR"/>
        </w:rPr>
        <w:t>Para la presente contratación pública, se considera</w:t>
      </w:r>
      <w:r w:rsidR="00A0752C">
        <w:rPr>
          <w:rFonts w:ascii="Arial" w:hAnsi="Arial" w:cs="Arial"/>
          <w:sz w:val="24"/>
          <w:szCs w:val="24"/>
          <w:lang w:val="es-AR"/>
        </w:rPr>
        <w:t xml:space="preserve"> </w:t>
      </w:r>
      <w:r w:rsidRPr="00854114">
        <w:rPr>
          <w:rFonts w:ascii="Arial" w:hAnsi="Arial" w:cs="Arial"/>
          <w:sz w:val="24"/>
          <w:szCs w:val="24"/>
          <w:lang w:val="es-AR"/>
        </w:rPr>
        <w:t>relevante la evaluación del desempeño empresario de los oferentes, a la luz de las metasde los Objetivos de Desarrollo Sostenible del Pacto Global de las Naciones Unidas (verhttps://www.un.org/sustainabledevelopment/es/objetivos-de-desarrollosostenible/). En</w:t>
      </w:r>
      <w:r w:rsidR="00A0752C">
        <w:rPr>
          <w:rFonts w:ascii="Arial" w:hAnsi="Arial" w:cs="Arial"/>
          <w:sz w:val="24"/>
          <w:szCs w:val="24"/>
          <w:lang w:val="es-AR"/>
        </w:rPr>
        <w:t xml:space="preserve"> </w:t>
      </w:r>
      <w:r w:rsidRPr="00854114">
        <w:rPr>
          <w:rFonts w:ascii="Arial" w:hAnsi="Arial" w:cs="Arial"/>
          <w:sz w:val="24"/>
          <w:szCs w:val="24"/>
          <w:lang w:val="es-AR"/>
        </w:rPr>
        <w:t xml:space="preserve">este orden, dentro del máximo previsto </w:t>
      </w:r>
      <w:r w:rsidRPr="00854114">
        <w:rPr>
          <w:rFonts w:ascii="Arial" w:hAnsi="Arial" w:cs="Arial"/>
          <w:b/>
          <w:bCs/>
          <w:sz w:val="24"/>
          <w:szCs w:val="24"/>
          <w:lang w:val="es-AR"/>
        </w:rPr>
        <w:t>(10 puntos)</w:t>
      </w:r>
      <w:r w:rsidRPr="00854114">
        <w:rPr>
          <w:rFonts w:ascii="Arial" w:hAnsi="Arial" w:cs="Arial"/>
          <w:sz w:val="24"/>
          <w:szCs w:val="24"/>
          <w:lang w:val="es-AR"/>
        </w:rPr>
        <w:t>, se calificará a los oferentes con el</w:t>
      </w:r>
      <w:r w:rsidR="00A0752C">
        <w:rPr>
          <w:rFonts w:ascii="Arial" w:hAnsi="Arial" w:cs="Arial"/>
          <w:sz w:val="24"/>
          <w:szCs w:val="24"/>
          <w:lang w:val="es-AR"/>
        </w:rPr>
        <w:t xml:space="preserve"> </w:t>
      </w:r>
      <w:r w:rsidRPr="00854114">
        <w:rPr>
          <w:rFonts w:ascii="Arial" w:hAnsi="Arial" w:cs="Arial"/>
          <w:sz w:val="24"/>
          <w:szCs w:val="24"/>
          <w:lang w:val="es-AR"/>
        </w:rPr>
        <w:t xml:space="preserve">puntaje que les asigne la Dirección General de Contrataciones </w:t>
      </w:r>
      <w:r w:rsidR="00A0752C">
        <w:rPr>
          <w:rFonts w:ascii="Arial" w:hAnsi="Arial" w:cs="Arial"/>
          <w:sz w:val="24"/>
          <w:szCs w:val="24"/>
          <w:lang w:val="es-AR"/>
        </w:rPr>
        <w:t>Públicas al tiempo de su i</w:t>
      </w:r>
      <w:r w:rsidRPr="00854114">
        <w:rPr>
          <w:rFonts w:ascii="Arial" w:hAnsi="Arial" w:cs="Arial"/>
          <w:sz w:val="24"/>
          <w:szCs w:val="24"/>
          <w:lang w:val="es-AR"/>
        </w:rPr>
        <w:t xml:space="preserve">nscripción o renovación </w:t>
      </w:r>
      <w:r w:rsidR="00A0752C">
        <w:rPr>
          <w:rFonts w:ascii="Arial" w:hAnsi="Arial" w:cs="Arial"/>
          <w:sz w:val="24"/>
          <w:szCs w:val="24"/>
          <w:lang w:val="es-AR"/>
        </w:rPr>
        <w:t>en el Registro Único de Proveedores,</w:t>
      </w:r>
      <w:r w:rsidRPr="00854114">
        <w:rPr>
          <w:rFonts w:ascii="Arial" w:hAnsi="Arial" w:cs="Arial"/>
          <w:sz w:val="24"/>
          <w:szCs w:val="24"/>
          <w:lang w:val="es-AR"/>
        </w:rPr>
        <w:t xml:space="preserve"> con anterioridad a laf</w:t>
      </w:r>
      <w:r w:rsidR="00C21B18">
        <w:rPr>
          <w:rFonts w:ascii="Arial" w:hAnsi="Arial" w:cs="Arial"/>
          <w:sz w:val="24"/>
          <w:szCs w:val="24"/>
          <w:lang w:val="es-AR"/>
        </w:rPr>
        <w:t xml:space="preserve"> </w:t>
      </w:r>
      <w:r w:rsidRPr="00854114">
        <w:rPr>
          <w:rFonts w:ascii="Arial" w:hAnsi="Arial" w:cs="Arial"/>
          <w:sz w:val="24"/>
          <w:szCs w:val="24"/>
          <w:lang w:val="es-AR"/>
        </w:rPr>
        <w:t>echa de la publicación del aviso de convocatoria de ofertas. La Comisión de</w:t>
      </w:r>
      <w:r w:rsidR="00C21B18">
        <w:rPr>
          <w:rFonts w:ascii="Arial" w:hAnsi="Arial" w:cs="Arial"/>
          <w:sz w:val="24"/>
          <w:szCs w:val="24"/>
          <w:lang w:val="es-AR"/>
        </w:rPr>
        <w:t xml:space="preserve"> </w:t>
      </w:r>
      <w:r w:rsidRPr="00854114">
        <w:rPr>
          <w:rFonts w:ascii="Arial" w:hAnsi="Arial" w:cs="Arial"/>
          <w:sz w:val="24"/>
          <w:szCs w:val="24"/>
          <w:lang w:val="es-AR"/>
        </w:rPr>
        <w:t>Evaluación verificará el puntaje en cada caso, a través de la información que difunda</w:t>
      </w:r>
      <w:r w:rsidR="00C21B18">
        <w:rPr>
          <w:rFonts w:ascii="Arial" w:hAnsi="Arial" w:cs="Arial"/>
          <w:sz w:val="24"/>
          <w:szCs w:val="24"/>
          <w:lang w:val="es-AR"/>
        </w:rPr>
        <w:t xml:space="preserve"> </w:t>
      </w:r>
      <w:r w:rsidRPr="00854114">
        <w:rPr>
          <w:rFonts w:ascii="Arial" w:hAnsi="Arial" w:cs="Arial"/>
          <w:sz w:val="24"/>
          <w:szCs w:val="24"/>
          <w:lang w:val="es-AR"/>
        </w:rPr>
        <w:t>públicamente en su web institucional la Dirección General de Contrataciones Públicas y</w:t>
      </w:r>
      <w:r w:rsidR="00C21B18">
        <w:rPr>
          <w:rFonts w:ascii="Arial" w:hAnsi="Arial" w:cs="Arial"/>
          <w:sz w:val="24"/>
          <w:szCs w:val="24"/>
          <w:lang w:val="es-AR"/>
        </w:rPr>
        <w:t xml:space="preserve"> </w:t>
      </w:r>
      <w:r w:rsidRPr="00854114">
        <w:rPr>
          <w:rFonts w:ascii="Arial" w:hAnsi="Arial" w:cs="Arial"/>
          <w:sz w:val="24"/>
          <w:szCs w:val="24"/>
          <w:lang w:val="es-AR"/>
        </w:rPr>
        <w:t>Gestión de Bienes (</w:t>
      </w:r>
      <w:hyperlink r:id="rId7" w:history="1">
        <w:r w:rsidR="002647BF" w:rsidRPr="00873C07">
          <w:rPr>
            <w:rStyle w:val="Hipervnculo"/>
            <w:rFonts w:ascii="Arial" w:hAnsi="Arial" w:cs="Arial"/>
            <w:sz w:val="24"/>
            <w:szCs w:val="24"/>
            <w:lang w:val="es-AR"/>
          </w:rPr>
          <w:t>https://www.mendoza.gov.ar/compras/compraspublicassustentables/</w:t>
        </w:r>
      </w:hyperlink>
      <w:r w:rsidRPr="00854114">
        <w:rPr>
          <w:rFonts w:ascii="Arial" w:hAnsi="Arial" w:cs="Arial"/>
          <w:sz w:val="24"/>
          <w:szCs w:val="24"/>
          <w:lang w:val="es-AR"/>
        </w:rPr>
        <w:t>).</w:t>
      </w:r>
    </w:p>
    <w:p w:rsidR="002647BF" w:rsidRPr="00D1192C" w:rsidRDefault="002647BF" w:rsidP="002647BF">
      <w:pPr>
        <w:autoSpaceDE w:val="0"/>
        <w:autoSpaceDN w:val="0"/>
        <w:adjustRightInd w:val="0"/>
        <w:spacing w:after="0" w:line="360" w:lineRule="auto"/>
        <w:jc w:val="both"/>
        <w:rPr>
          <w:rFonts w:ascii="Arial" w:hAnsi="Arial" w:cs="Arial"/>
          <w:b/>
          <w:sz w:val="24"/>
          <w:szCs w:val="24"/>
        </w:rPr>
      </w:pPr>
      <w:r w:rsidRPr="00D1192C">
        <w:rPr>
          <w:rFonts w:ascii="Arial" w:eastAsia="Tahoma" w:hAnsi="Arial" w:cs="Arial"/>
          <w:b/>
          <w:sz w:val="24"/>
          <w:szCs w:val="24"/>
          <w:lang w:eastAsia="ar-SA"/>
        </w:rPr>
        <w:lastRenderedPageBreak/>
        <w:t>IMPORTANTE: Se recuerda que esta Grilla Modelo -como toda Grilla Modelo- puede ser modificada por el Organismo Contratante, debiendo en tal caso preservarse la razonabilidad de los indicadores y su coherencia con las particularidades del servicio a contratar (por ejemplo, puede preverse mayor rigurosidad o flexibilidad en los indicadores de capacidad económico financiera, en los antecedentes, o bien incluirse otros indicadores como podría ser la evaluación de un Programa de Calidad del Servicio).</w:t>
      </w:r>
    </w:p>
    <w:p w:rsidR="002647BF" w:rsidRPr="00854114" w:rsidRDefault="002647BF" w:rsidP="00A0752C">
      <w:pPr>
        <w:jc w:val="both"/>
        <w:rPr>
          <w:rFonts w:ascii="Arial" w:hAnsi="Arial" w:cs="Arial"/>
          <w:sz w:val="24"/>
          <w:szCs w:val="24"/>
          <w:lang w:val="es-AR"/>
        </w:rPr>
      </w:pPr>
      <w:bookmarkStart w:id="0" w:name="_GoBack"/>
      <w:bookmarkEnd w:id="0"/>
    </w:p>
    <w:sectPr w:rsidR="002647BF" w:rsidRPr="00854114" w:rsidSect="006E72B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4ED" w:rsidRDefault="001564ED" w:rsidP="005A02CF">
      <w:pPr>
        <w:spacing w:after="0" w:line="240" w:lineRule="auto"/>
      </w:pPr>
      <w:r>
        <w:separator/>
      </w:r>
    </w:p>
  </w:endnote>
  <w:endnote w:type="continuationSeparator" w:id="0">
    <w:p w:rsidR="001564ED" w:rsidRDefault="001564ED" w:rsidP="005A0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4ED" w:rsidRDefault="001564ED" w:rsidP="005A02CF">
      <w:pPr>
        <w:spacing w:after="0" w:line="240" w:lineRule="auto"/>
      </w:pPr>
      <w:r>
        <w:separator/>
      </w:r>
    </w:p>
  </w:footnote>
  <w:footnote w:type="continuationSeparator" w:id="0">
    <w:p w:rsidR="001564ED" w:rsidRDefault="001564ED" w:rsidP="005A02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C746E"/>
    <w:multiLevelType w:val="hybridMultilevel"/>
    <w:tmpl w:val="4694EE28"/>
    <w:lvl w:ilvl="0" w:tplc="E598AAB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3F7363B"/>
    <w:multiLevelType w:val="hybridMultilevel"/>
    <w:tmpl w:val="17BA8400"/>
    <w:lvl w:ilvl="0" w:tplc="83C0E7E6">
      <w:start w:val="1"/>
      <w:numFmt w:val="decimal"/>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447A51EF"/>
    <w:multiLevelType w:val="hybridMultilevel"/>
    <w:tmpl w:val="6D1E75E2"/>
    <w:lvl w:ilvl="0" w:tplc="D7022806">
      <w:start w:val="1"/>
      <w:numFmt w:val="lowerLetter"/>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456C0BE4"/>
    <w:multiLevelType w:val="hybridMultilevel"/>
    <w:tmpl w:val="17BA8400"/>
    <w:lvl w:ilvl="0" w:tplc="83C0E7E6">
      <w:start w:val="1"/>
      <w:numFmt w:val="decimal"/>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58F73A03"/>
    <w:multiLevelType w:val="hybridMultilevel"/>
    <w:tmpl w:val="A57E3F4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673B0C0E"/>
    <w:multiLevelType w:val="hybridMultilevel"/>
    <w:tmpl w:val="514C4F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750503D7"/>
    <w:multiLevelType w:val="hybridMultilevel"/>
    <w:tmpl w:val="F1E8F7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8049C"/>
    <w:rsid w:val="00045472"/>
    <w:rsid w:val="000B08FB"/>
    <w:rsid w:val="000D39FD"/>
    <w:rsid w:val="000D73BB"/>
    <w:rsid w:val="000E1DC4"/>
    <w:rsid w:val="00110DD6"/>
    <w:rsid w:val="00124032"/>
    <w:rsid w:val="00124095"/>
    <w:rsid w:val="001564ED"/>
    <w:rsid w:val="00174AA7"/>
    <w:rsid w:val="0018049C"/>
    <w:rsid w:val="001D3133"/>
    <w:rsid w:val="002044C3"/>
    <w:rsid w:val="002304CB"/>
    <w:rsid w:val="00233EE4"/>
    <w:rsid w:val="0024028A"/>
    <w:rsid w:val="00251487"/>
    <w:rsid w:val="002647BF"/>
    <w:rsid w:val="00282CAF"/>
    <w:rsid w:val="002910AA"/>
    <w:rsid w:val="002B7DCC"/>
    <w:rsid w:val="002E1A06"/>
    <w:rsid w:val="002E769D"/>
    <w:rsid w:val="00307A2A"/>
    <w:rsid w:val="003251B1"/>
    <w:rsid w:val="003263A9"/>
    <w:rsid w:val="0032656B"/>
    <w:rsid w:val="00361C77"/>
    <w:rsid w:val="003A186F"/>
    <w:rsid w:val="00437D54"/>
    <w:rsid w:val="0044064D"/>
    <w:rsid w:val="00446AA6"/>
    <w:rsid w:val="00471B98"/>
    <w:rsid w:val="00476D61"/>
    <w:rsid w:val="004860A3"/>
    <w:rsid w:val="004C3233"/>
    <w:rsid w:val="004D6DE9"/>
    <w:rsid w:val="00523AF4"/>
    <w:rsid w:val="00527B64"/>
    <w:rsid w:val="005548AB"/>
    <w:rsid w:val="005A02CF"/>
    <w:rsid w:val="005B125A"/>
    <w:rsid w:val="005D2900"/>
    <w:rsid w:val="00624378"/>
    <w:rsid w:val="006304FF"/>
    <w:rsid w:val="00674DFF"/>
    <w:rsid w:val="006910E0"/>
    <w:rsid w:val="006E72BE"/>
    <w:rsid w:val="006F2C85"/>
    <w:rsid w:val="00717D0B"/>
    <w:rsid w:val="007804C7"/>
    <w:rsid w:val="00797E0A"/>
    <w:rsid w:val="007E0941"/>
    <w:rsid w:val="00845D26"/>
    <w:rsid w:val="00854114"/>
    <w:rsid w:val="00860383"/>
    <w:rsid w:val="0087535F"/>
    <w:rsid w:val="00882DED"/>
    <w:rsid w:val="008B40FF"/>
    <w:rsid w:val="009115B8"/>
    <w:rsid w:val="00934EA1"/>
    <w:rsid w:val="00985A4F"/>
    <w:rsid w:val="00996441"/>
    <w:rsid w:val="009B7E6E"/>
    <w:rsid w:val="009C4A11"/>
    <w:rsid w:val="009D50AB"/>
    <w:rsid w:val="00A0752C"/>
    <w:rsid w:val="00A10B98"/>
    <w:rsid w:val="00A22857"/>
    <w:rsid w:val="00A667E5"/>
    <w:rsid w:val="00A811FB"/>
    <w:rsid w:val="00AB6C38"/>
    <w:rsid w:val="00AF20FD"/>
    <w:rsid w:val="00B05842"/>
    <w:rsid w:val="00B55934"/>
    <w:rsid w:val="00B61B6E"/>
    <w:rsid w:val="00B77A99"/>
    <w:rsid w:val="00B97A07"/>
    <w:rsid w:val="00BA1F1E"/>
    <w:rsid w:val="00BB0158"/>
    <w:rsid w:val="00BE07A8"/>
    <w:rsid w:val="00C21B18"/>
    <w:rsid w:val="00C40A2E"/>
    <w:rsid w:val="00C670FE"/>
    <w:rsid w:val="00C82960"/>
    <w:rsid w:val="00C8516F"/>
    <w:rsid w:val="00CB129E"/>
    <w:rsid w:val="00CF7AF5"/>
    <w:rsid w:val="00D552BC"/>
    <w:rsid w:val="00D7255A"/>
    <w:rsid w:val="00DA61A8"/>
    <w:rsid w:val="00E06DCB"/>
    <w:rsid w:val="00E35B75"/>
    <w:rsid w:val="00E4336A"/>
    <w:rsid w:val="00EA588A"/>
    <w:rsid w:val="00EC0A32"/>
    <w:rsid w:val="00FB5C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A9F19-6FA1-4BBE-A1E8-004C19EC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B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8049C"/>
    <w:pPr>
      <w:spacing w:after="0" w:line="240" w:lineRule="auto"/>
    </w:pPr>
  </w:style>
  <w:style w:type="character" w:styleId="Hipervnculo">
    <w:name w:val="Hyperlink"/>
    <w:basedOn w:val="Fuentedeprrafopredeter"/>
    <w:uiPriority w:val="99"/>
    <w:unhideWhenUsed/>
    <w:rsid w:val="0044064D"/>
    <w:rPr>
      <w:color w:val="0000FF" w:themeColor="hyperlink"/>
      <w:u w:val="single"/>
    </w:rPr>
  </w:style>
  <w:style w:type="character" w:styleId="Hipervnculovisitado">
    <w:name w:val="FollowedHyperlink"/>
    <w:basedOn w:val="Fuentedeprrafopredeter"/>
    <w:uiPriority w:val="99"/>
    <w:semiHidden/>
    <w:unhideWhenUsed/>
    <w:rsid w:val="0044064D"/>
    <w:rPr>
      <w:color w:val="800080" w:themeColor="followedHyperlink"/>
      <w:u w:val="single"/>
    </w:rPr>
  </w:style>
  <w:style w:type="character" w:styleId="Textoennegrita">
    <w:name w:val="Strong"/>
    <w:basedOn w:val="Fuentedeprrafopredeter"/>
    <w:uiPriority w:val="22"/>
    <w:qFormat/>
    <w:rsid w:val="00251487"/>
    <w:rPr>
      <w:b/>
      <w:bCs/>
    </w:rPr>
  </w:style>
  <w:style w:type="paragraph" w:customStyle="1" w:styleId="Default">
    <w:name w:val="Default"/>
    <w:rsid w:val="00B61B6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Piedepgina1">
    <w:name w:val="Pie de página1"/>
    <w:basedOn w:val="Normal"/>
    <w:next w:val="Piedepgina"/>
    <w:link w:val="PiedepginaCar"/>
    <w:uiPriority w:val="99"/>
    <w:unhideWhenUsed/>
    <w:rsid w:val="003A186F"/>
    <w:pPr>
      <w:tabs>
        <w:tab w:val="center" w:pos="4252"/>
        <w:tab w:val="right" w:pos="8504"/>
      </w:tabs>
      <w:spacing w:after="0" w:line="240" w:lineRule="auto"/>
    </w:pPr>
  </w:style>
  <w:style w:type="character" w:customStyle="1" w:styleId="PiedepginaCar">
    <w:name w:val="Pie de página Car"/>
    <w:basedOn w:val="Fuentedeprrafopredeter"/>
    <w:link w:val="Piedepgina1"/>
    <w:uiPriority w:val="99"/>
    <w:rsid w:val="003A186F"/>
  </w:style>
  <w:style w:type="paragraph" w:styleId="Piedepgina">
    <w:name w:val="footer"/>
    <w:basedOn w:val="Normal"/>
    <w:link w:val="PiedepginaCar1"/>
    <w:uiPriority w:val="99"/>
    <w:unhideWhenUsed/>
    <w:rsid w:val="003A186F"/>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3A186F"/>
  </w:style>
  <w:style w:type="paragraph" w:styleId="Encabezado">
    <w:name w:val="header"/>
    <w:basedOn w:val="Normal"/>
    <w:link w:val="EncabezadoCar"/>
    <w:uiPriority w:val="99"/>
    <w:unhideWhenUsed/>
    <w:rsid w:val="005A02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02CF"/>
  </w:style>
  <w:style w:type="paragraph" w:styleId="Prrafodelista">
    <w:name w:val="List Paragraph"/>
    <w:basedOn w:val="Normal"/>
    <w:uiPriority w:val="34"/>
    <w:qFormat/>
    <w:rsid w:val="00D552BC"/>
    <w:pPr>
      <w:ind w:left="720"/>
      <w:contextualSpacing/>
    </w:pPr>
  </w:style>
  <w:style w:type="character" w:styleId="Refdecomentario">
    <w:name w:val="annotation reference"/>
    <w:basedOn w:val="Fuentedeprrafopredeter"/>
    <w:uiPriority w:val="99"/>
    <w:semiHidden/>
    <w:unhideWhenUsed/>
    <w:rsid w:val="008B40FF"/>
    <w:rPr>
      <w:sz w:val="16"/>
      <w:szCs w:val="16"/>
    </w:rPr>
  </w:style>
  <w:style w:type="paragraph" w:styleId="Textocomentario">
    <w:name w:val="annotation text"/>
    <w:basedOn w:val="Normal"/>
    <w:link w:val="TextocomentarioCar"/>
    <w:uiPriority w:val="99"/>
    <w:semiHidden/>
    <w:unhideWhenUsed/>
    <w:rsid w:val="008B40F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B40FF"/>
    <w:rPr>
      <w:sz w:val="20"/>
      <w:szCs w:val="20"/>
    </w:rPr>
  </w:style>
  <w:style w:type="paragraph" w:styleId="Asuntodelcomentario">
    <w:name w:val="annotation subject"/>
    <w:basedOn w:val="Textocomentario"/>
    <w:next w:val="Textocomentario"/>
    <w:link w:val="AsuntodelcomentarioCar"/>
    <w:uiPriority w:val="99"/>
    <w:semiHidden/>
    <w:unhideWhenUsed/>
    <w:rsid w:val="008B40FF"/>
    <w:rPr>
      <w:b/>
      <w:bCs/>
    </w:rPr>
  </w:style>
  <w:style w:type="character" w:customStyle="1" w:styleId="AsuntodelcomentarioCar">
    <w:name w:val="Asunto del comentario Car"/>
    <w:basedOn w:val="TextocomentarioCar"/>
    <w:link w:val="Asuntodelcomentario"/>
    <w:uiPriority w:val="99"/>
    <w:semiHidden/>
    <w:rsid w:val="008B40FF"/>
    <w:rPr>
      <w:b/>
      <w:bCs/>
      <w:sz w:val="20"/>
      <w:szCs w:val="20"/>
    </w:rPr>
  </w:style>
  <w:style w:type="paragraph" w:styleId="Textodeglobo">
    <w:name w:val="Balloon Text"/>
    <w:basedOn w:val="Normal"/>
    <w:link w:val="TextodegloboCar"/>
    <w:uiPriority w:val="99"/>
    <w:semiHidden/>
    <w:unhideWhenUsed/>
    <w:rsid w:val="008B40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40FF"/>
    <w:rPr>
      <w:rFonts w:ascii="Segoe UI" w:hAnsi="Segoe UI" w:cs="Segoe UI"/>
      <w:sz w:val="18"/>
      <w:szCs w:val="18"/>
    </w:rPr>
  </w:style>
  <w:style w:type="paragraph" w:styleId="Descripcin">
    <w:name w:val="caption"/>
    <w:basedOn w:val="Normal"/>
    <w:next w:val="Normal"/>
    <w:uiPriority w:val="35"/>
    <w:unhideWhenUsed/>
    <w:qFormat/>
    <w:rsid w:val="00A667E5"/>
    <w:pPr>
      <w:spacing w:line="240" w:lineRule="auto"/>
    </w:pPr>
    <w:rPr>
      <w:i/>
      <w:iCs/>
      <w:color w:val="1F497D" w:themeColor="text2"/>
      <w:sz w:val="18"/>
      <w:szCs w:val="18"/>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257306">
      <w:bodyDiv w:val="1"/>
      <w:marLeft w:val="0"/>
      <w:marRight w:val="0"/>
      <w:marTop w:val="0"/>
      <w:marBottom w:val="0"/>
      <w:divBdr>
        <w:top w:val="none" w:sz="0" w:space="0" w:color="auto"/>
        <w:left w:val="none" w:sz="0" w:space="0" w:color="auto"/>
        <w:bottom w:val="none" w:sz="0" w:space="0" w:color="auto"/>
        <w:right w:val="none" w:sz="0" w:space="0" w:color="auto"/>
      </w:divBdr>
      <w:divsChild>
        <w:div w:id="817651125">
          <w:marLeft w:val="-225"/>
          <w:marRight w:val="-225"/>
          <w:marTop w:val="0"/>
          <w:marBottom w:val="0"/>
          <w:divBdr>
            <w:top w:val="none" w:sz="0" w:space="0" w:color="auto"/>
            <w:left w:val="none" w:sz="0" w:space="0" w:color="auto"/>
            <w:bottom w:val="none" w:sz="0" w:space="0" w:color="auto"/>
            <w:right w:val="none" w:sz="0" w:space="0" w:color="auto"/>
          </w:divBdr>
          <w:divsChild>
            <w:div w:id="306669511">
              <w:marLeft w:val="0"/>
              <w:marRight w:val="0"/>
              <w:marTop w:val="0"/>
              <w:marBottom w:val="0"/>
              <w:divBdr>
                <w:top w:val="none" w:sz="0" w:space="0" w:color="auto"/>
                <w:left w:val="none" w:sz="0" w:space="0" w:color="auto"/>
                <w:bottom w:val="none" w:sz="0" w:space="0" w:color="auto"/>
                <w:right w:val="none" w:sz="0" w:space="0" w:color="auto"/>
              </w:divBdr>
            </w:div>
            <w:div w:id="1979846031">
              <w:marLeft w:val="0"/>
              <w:marRight w:val="0"/>
              <w:marTop w:val="0"/>
              <w:marBottom w:val="0"/>
              <w:divBdr>
                <w:top w:val="none" w:sz="0" w:space="0" w:color="auto"/>
                <w:left w:val="none" w:sz="0" w:space="0" w:color="auto"/>
                <w:bottom w:val="none" w:sz="0" w:space="0" w:color="auto"/>
                <w:right w:val="none" w:sz="0" w:space="0" w:color="auto"/>
              </w:divBdr>
            </w:div>
          </w:divsChild>
        </w:div>
        <w:div w:id="1023243897">
          <w:marLeft w:val="-225"/>
          <w:marRight w:val="-225"/>
          <w:marTop w:val="0"/>
          <w:marBottom w:val="0"/>
          <w:divBdr>
            <w:top w:val="none" w:sz="0" w:space="0" w:color="auto"/>
            <w:left w:val="none" w:sz="0" w:space="0" w:color="auto"/>
            <w:bottom w:val="none" w:sz="0" w:space="0" w:color="auto"/>
            <w:right w:val="none" w:sz="0" w:space="0" w:color="auto"/>
          </w:divBdr>
          <w:divsChild>
            <w:div w:id="2073769851">
              <w:marLeft w:val="0"/>
              <w:marRight w:val="0"/>
              <w:marTop w:val="0"/>
              <w:marBottom w:val="0"/>
              <w:divBdr>
                <w:top w:val="none" w:sz="0" w:space="0" w:color="auto"/>
                <w:left w:val="none" w:sz="0" w:space="0" w:color="auto"/>
                <w:bottom w:val="none" w:sz="0" w:space="0" w:color="auto"/>
                <w:right w:val="none" w:sz="0" w:space="0" w:color="auto"/>
              </w:divBdr>
            </w:div>
            <w:div w:id="3246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1441">
      <w:bodyDiv w:val="1"/>
      <w:marLeft w:val="0"/>
      <w:marRight w:val="0"/>
      <w:marTop w:val="0"/>
      <w:marBottom w:val="0"/>
      <w:divBdr>
        <w:top w:val="none" w:sz="0" w:space="0" w:color="auto"/>
        <w:left w:val="none" w:sz="0" w:space="0" w:color="auto"/>
        <w:bottom w:val="none" w:sz="0" w:space="0" w:color="auto"/>
        <w:right w:val="none" w:sz="0" w:space="0" w:color="auto"/>
      </w:divBdr>
      <w:divsChild>
        <w:div w:id="908267816">
          <w:marLeft w:val="-225"/>
          <w:marRight w:val="-225"/>
          <w:marTop w:val="0"/>
          <w:marBottom w:val="0"/>
          <w:divBdr>
            <w:top w:val="none" w:sz="0" w:space="0" w:color="auto"/>
            <w:left w:val="none" w:sz="0" w:space="0" w:color="auto"/>
            <w:bottom w:val="none" w:sz="0" w:space="0" w:color="auto"/>
            <w:right w:val="none" w:sz="0" w:space="0" w:color="auto"/>
          </w:divBdr>
          <w:divsChild>
            <w:div w:id="806625000">
              <w:marLeft w:val="0"/>
              <w:marRight w:val="0"/>
              <w:marTop w:val="0"/>
              <w:marBottom w:val="0"/>
              <w:divBdr>
                <w:top w:val="none" w:sz="0" w:space="0" w:color="auto"/>
                <w:left w:val="none" w:sz="0" w:space="0" w:color="auto"/>
                <w:bottom w:val="none" w:sz="0" w:space="0" w:color="auto"/>
                <w:right w:val="none" w:sz="0" w:space="0" w:color="auto"/>
              </w:divBdr>
            </w:div>
            <w:div w:id="1191869714">
              <w:marLeft w:val="0"/>
              <w:marRight w:val="0"/>
              <w:marTop w:val="0"/>
              <w:marBottom w:val="0"/>
              <w:divBdr>
                <w:top w:val="none" w:sz="0" w:space="0" w:color="auto"/>
                <w:left w:val="none" w:sz="0" w:space="0" w:color="auto"/>
                <w:bottom w:val="none" w:sz="0" w:space="0" w:color="auto"/>
                <w:right w:val="none" w:sz="0" w:space="0" w:color="auto"/>
              </w:divBdr>
            </w:div>
          </w:divsChild>
        </w:div>
        <w:div w:id="349718717">
          <w:marLeft w:val="-225"/>
          <w:marRight w:val="-225"/>
          <w:marTop w:val="0"/>
          <w:marBottom w:val="0"/>
          <w:divBdr>
            <w:top w:val="none" w:sz="0" w:space="0" w:color="auto"/>
            <w:left w:val="none" w:sz="0" w:space="0" w:color="auto"/>
            <w:bottom w:val="none" w:sz="0" w:space="0" w:color="auto"/>
            <w:right w:val="none" w:sz="0" w:space="0" w:color="auto"/>
          </w:divBdr>
          <w:divsChild>
            <w:div w:id="1223369279">
              <w:marLeft w:val="0"/>
              <w:marRight w:val="0"/>
              <w:marTop w:val="0"/>
              <w:marBottom w:val="0"/>
              <w:divBdr>
                <w:top w:val="none" w:sz="0" w:space="0" w:color="auto"/>
                <w:left w:val="none" w:sz="0" w:space="0" w:color="auto"/>
                <w:bottom w:val="none" w:sz="0" w:space="0" w:color="auto"/>
                <w:right w:val="none" w:sz="0" w:space="0" w:color="auto"/>
              </w:divBdr>
            </w:div>
            <w:div w:id="158206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92626">
      <w:bodyDiv w:val="1"/>
      <w:marLeft w:val="0"/>
      <w:marRight w:val="0"/>
      <w:marTop w:val="0"/>
      <w:marBottom w:val="0"/>
      <w:divBdr>
        <w:top w:val="none" w:sz="0" w:space="0" w:color="auto"/>
        <w:left w:val="none" w:sz="0" w:space="0" w:color="auto"/>
        <w:bottom w:val="none" w:sz="0" w:space="0" w:color="auto"/>
        <w:right w:val="none" w:sz="0" w:space="0" w:color="auto"/>
      </w:divBdr>
      <w:divsChild>
        <w:div w:id="1742823765">
          <w:marLeft w:val="-225"/>
          <w:marRight w:val="-225"/>
          <w:marTop w:val="0"/>
          <w:marBottom w:val="0"/>
          <w:divBdr>
            <w:top w:val="none" w:sz="0" w:space="0" w:color="auto"/>
            <w:left w:val="none" w:sz="0" w:space="0" w:color="auto"/>
            <w:bottom w:val="none" w:sz="0" w:space="0" w:color="auto"/>
            <w:right w:val="none" w:sz="0" w:space="0" w:color="auto"/>
          </w:divBdr>
          <w:divsChild>
            <w:div w:id="171454201">
              <w:marLeft w:val="0"/>
              <w:marRight w:val="0"/>
              <w:marTop w:val="0"/>
              <w:marBottom w:val="0"/>
              <w:divBdr>
                <w:top w:val="none" w:sz="0" w:space="0" w:color="auto"/>
                <w:left w:val="none" w:sz="0" w:space="0" w:color="auto"/>
                <w:bottom w:val="none" w:sz="0" w:space="0" w:color="auto"/>
                <w:right w:val="none" w:sz="0" w:space="0" w:color="auto"/>
              </w:divBdr>
            </w:div>
            <w:div w:id="434177377">
              <w:marLeft w:val="0"/>
              <w:marRight w:val="0"/>
              <w:marTop w:val="0"/>
              <w:marBottom w:val="0"/>
              <w:divBdr>
                <w:top w:val="none" w:sz="0" w:space="0" w:color="auto"/>
                <w:left w:val="none" w:sz="0" w:space="0" w:color="auto"/>
                <w:bottom w:val="none" w:sz="0" w:space="0" w:color="auto"/>
                <w:right w:val="none" w:sz="0" w:space="0" w:color="auto"/>
              </w:divBdr>
            </w:div>
          </w:divsChild>
        </w:div>
        <w:div w:id="1882739450">
          <w:marLeft w:val="-225"/>
          <w:marRight w:val="-225"/>
          <w:marTop w:val="0"/>
          <w:marBottom w:val="0"/>
          <w:divBdr>
            <w:top w:val="none" w:sz="0" w:space="0" w:color="auto"/>
            <w:left w:val="none" w:sz="0" w:space="0" w:color="auto"/>
            <w:bottom w:val="none" w:sz="0" w:space="0" w:color="auto"/>
            <w:right w:val="none" w:sz="0" w:space="0" w:color="auto"/>
          </w:divBdr>
          <w:divsChild>
            <w:div w:id="740905829">
              <w:marLeft w:val="0"/>
              <w:marRight w:val="0"/>
              <w:marTop w:val="0"/>
              <w:marBottom w:val="0"/>
              <w:divBdr>
                <w:top w:val="none" w:sz="0" w:space="0" w:color="auto"/>
                <w:left w:val="none" w:sz="0" w:space="0" w:color="auto"/>
                <w:bottom w:val="none" w:sz="0" w:space="0" w:color="auto"/>
                <w:right w:val="none" w:sz="0" w:space="0" w:color="auto"/>
              </w:divBdr>
            </w:div>
            <w:div w:id="173114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99172">
      <w:bodyDiv w:val="1"/>
      <w:marLeft w:val="0"/>
      <w:marRight w:val="0"/>
      <w:marTop w:val="0"/>
      <w:marBottom w:val="0"/>
      <w:divBdr>
        <w:top w:val="none" w:sz="0" w:space="0" w:color="auto"/>
        <w:left w:val="none" w:sz="0" w:space="0" w:color="auto"/>
        <w:bottom w:val="none" w:sz="0" w:space="0" w:color="auto"/>
        <w:right w:val="none" w:sz="0" w:space="0" w:color="auto"/>
      </w:divBdr>
      <w:divsChild>
        <w:div w:id="848494686">
          <w:marLeft w:val="-225"/>
          <w:marRight w:val="-225"/>
          <w:marTop w:val="0"/>
          <w:marBottom w:val="0"/>
          <w:divBdr>
            <w:top w:val="none" w:sz="0" w:space="0" w:color="auto"/>
            <w:left w:val="none" w:sz="0" w:space="0" w:color="auto"/>
            <w:bottom w:val="none" w:sz="0" w:space="0" w:color="auto"/>
            <w:right w:val="none" w:sz="0" w:space="0" w:color="auto"/>
          </w:divBdr>
          <w:divsChild>
            <w:div w:id="215704760">
              <w:marLeft w:val="0"/>
              <w:marRight w:val="0"/>
              <w:marTop w:val="0"/>
              <w:marBottom w:val="0"/>
              <w:divBdr>
                <w:top w:val="none" w:sz="0" w:space="0" w:color="auto"/>
                <w:left w:val="none" w:sz="0" w:space="0" w:color="auto"/>
                <w:bottom w:val="none" w:sz="0" w:space="0" w:color="auto"/>
                <w:right w:val="none" w:sz="0" w:space="0" w:color="auto"/>
              </w:divBdr>
            </w:div>
            <w:div w:id="266233037">
              <w:marLeft w:val="0"/>
              <w:marRight w:val="0"/>
              <w:marTop w:val="0"/>
              <w:marBottom w:val="0"/>
              <w:divBdr>
                <w:top w:val="none" w:sz="0" w:space="0" w:color="auto"/>
                <w:left w:val="none" w:sz="0" w:space="0" w:color="auto"/>
                <w:bottom w:val="none" w:sz="0" w:space="0" w:color="auto"/>
                <w:right w:val="none" w:sz="0" w:space="0" w:color="auto"/>
              </w:divBdr>
            </w:div>
          </w:divsChild>
        </w:div>
        <w:div w:id="1096369723">
          <w:marLeft w:val="-225"/>
          <w:marRight w:val="-225"/>
          <w:marTop w:val="0"/>
          <w:marBottom w:val="0"/>
          <w:divBdr>
            <w:top w:val="none" w:sz="0" w:space="0" w:color="auto"/>
            <w:left w:val="none" w:sz="0" w:space="0" w:color="auto"/>
            <w:bottom w:val="none" w:sz="0" w:space="0" w:color="auto"/>
            <w:right w:val="none" w:sz="0" w:space="0" w:color="auto"/>
          </w:divBdr>
          <w:divsChild>
            <w:div w:id="543181243">
              <w:marLeft w:val="0"/>
              <w:marRight w:val="0"/>
              <w:marTop w:val="0"/>
              <w:marBottom w:val="0"/>
              <w:divBdr>
                <w:top w:val="none" w:sz="0" w:space="0" w:color="auto"/>
                <w:left w:val="none" w:sz="0" w:space="0" w:color="auto"/>
                <w:bottom w:val="none" w:sz="0" w:space="0" w:color="auto"/>
                <w:right w:val="none" w:sz="0" w:space="0" w:color="auto"/>
              </w:divBdr>
            </w:div>
            <w:div w:id="88109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0631">
      <w:bodyDiv w:val="1"/>
      <w:marLeft w:val="0"/>
      <w:marRight w:val="0"/>
      <w:marTop w:val="0"/>
      <w:marBottom w:val="0"/>
      <w:divBdr>
        <w:top w:val="none" w:sz="0" w:space="0" w:color="auto"/>
        <w:left w:val="none" w:sz="0" w:space="0" w:color="auto"/>
        <w:bottom w:val="none" w:sz="0" w:space="0" w:color="auto"/>
        <w:right w:val="none" w:sz="0" w:space="0" w:color="auto"/>
      </w:divBdr>
      <w:divsChild>
        <w:div w:id="1761290236">
          <w:marLeft w:val="-225"/>
          <w:marRight w:val="-225"/>
          <w:marTop w:val="0"/>
          <w:marBottom w:val="0"/>
          <w:divBdr>
            <w:top w:val="none" w:sz="0" w:space="0" w:color="auto"/>
            <w:left w:val="none" w:sz="0" w:space="0" w:color="auto"/>
            <w:bottom w:val="none" w:sz="0" w:space="0" w:color="auto"/>
            <w:right w:val="none" w:sz="0" w:space="0" w:color="auto"/>
          </w:divBdr>
          <w:divsChild>
            <w:div w:id="1086805329">
              <w:marLeft w:val="0"/>
              <w:marRight w:val="0"/>
              <w:marTop w:val="0"/>
              <w:marBottom w:val="0"/>
              <w:divBdr>
                <w:top w:val="none" w:sz="0" w:space="0" w:color="auto"/>
                <w:left w:val="none" w:sz="0" w:space="0" w:color="auto"/>
                <w:bottom w:val="none" w:sz="0" w:space="0" w:color="auto"/>
                <w:right w:val="none" w:sz="0" w:space="0" w:color="auto"/>
              </w:divBdr>
            </w:div>
            <w:div w:id="631330501">
              <w:marLeft w:val="0"/>
              <w:marRight w:val="0"/>
              <w:marTop w:val="0"/>
              <w:marBottom w:val="0"/>
              <w:divBdr>
                <w:top w:val="none" w:sz="0" w:space="0" w:color="auto"/>
                <w:left w:val="none" w:sz="0" w:space="0" w:color="auto"/>
                <w:bottom w:val="none" w:sz="0" w:space="0" w:color="auto"/>
                <w:right w:val="none" w:sz="0" w:space="0" w:color="auto"/>
              </w:divBdr>
            </w:div>
          </w:divsChild>
        </w:div>
        <w:div w:id="1178882787">
          <w:marLeft w:val="-225"/>
          <w:marRight w:val="-225"/>
          <w:marTop w:val="0"/>
          <w:marBottom w:val="0"/>
          <w:divBdr>
            <w:top w:val="none" w:sz="0" w:space="0" w:color="auto"/>
            <w:left w:val="none" w:sz="0" w:space="0" w:color="auto"/>
            <w:bottom w:val="none" w:sz="0" w:space="0" w:color="auto"/>
            <w:right w:val="none" w:sz="0" w:space="0" w:color="auto"/>
          </w:divBdr>
          <w:divsChild>
            <w:div w:id="1992439295">
              <w:marLeft w:val="0"/>
              <w:marRight w:val="0"/>
              <w:marTop w:val="0"/>
              <w:marBottom w:val="0"/>
              <w:divBdr>
                <w:top w:val="none" w:sz="0" w:space="0" w:color="auto"/>
                <w:left w:val="none" w:sz="0" w:space="0" w:color="auto"/>
                <w:bottom w:val="none" w:sz="0" w:space="0" w:color="auto"/>
                <w:right w:val="none" w:sz="0" w:space="0" w:color="auto"/>
              </w:divBdr>
            </w:div>
            <w:div w:id="1060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ndoza.gov.ar/compras/compraspublicassustentab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716</Words>
  <Characters>3944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Pasantes21</dc:creator>
  <cp:lastModifiedBy>Roberto Cabaña</cp:lastModifiedBy>
  <cp:revision>5</cp:revision>
  <dcterms:created xsi:type="dcterms:W3CDTF">2023-02-03T13:27:00Z</dcterms:created>
  <dcterms:modified xsi:type="dcterms:W3CDTF">2023-02-03T13:32:00Z</dcterms:modified>
</cp:coreProperties>
</file>