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5951" w14:textId="4385F3D0" w:rsidR="00DB1FD4" w:rsidRPr="00A37DFB" w:rsidRDefault="00FE09B7" w:rsidP="00FE09B7">
      <w:pPr>
        <w:pBdr>
          <w:top w:val="nil"/>
          <w:left w:val="nil"/>
          <w:bottom w:val="nil"/>
          <w:right w:val="nil"/>
          <w:between w:val="nil"/>
        </w:pBdr>
        <w:spacing w:after="0" w:line="360" w:lineRule="auto"/>
        <w:ind w:left="360"/>
        <w:jc w:val="center"/>
        <w:rPr>
          <w:rFonts w:eastAsia="Times New Roman"/>
          <w:b/>
          <w:color w:val="000000"/>
          <w:sz w:val="28"/>
          <w:szCs w:val="28"/>
          <w:u w:val="single"/>
        </w:rPr>
      </w:pPr>
      <w:r w:rsidRPr="00A37DFB">
        <w:rPr>
          <w:rFonts w:eastAsia="Times New Roman"/>
          <w:b/>
          <w:color w:val="000000"/>
          <w:sz w:val="28"/>
          <w:szCs w:val="28"/>
          <w:u w:val="single"/>
        </w:rPr>
        <w:t>GRILLA DE EVALUACION ADQUISICION DE CAMAS ELECTRICAS PARA PERSONAS CON OBESIDAD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6"/>
        <w:gridCol w:w="1286"/>
      </w:tblGrid>
      <w:tr w:rsidR="00EA1E9E" w:rsidRPr="00A37DFB" w14:paraId="2C4D597E" w14:textId="77777777" w:rsidTr="00762ADA">
        <w:trPr>
          <w:trHeight w:val="626"/>
          <w:jc w:val="center"/>
        </w:trPr>
        <w:tc>
          <w:tcPr>
            <w:tcW w:w="6096" w:type="dxa"/>
            <w:shd w:val="clear" w:color="auto" w:fill="auto"/>
            <w:tcMar>
              <w:top w:w="15" w:type="dxa"/>
              <w:left w:w="15" w:type="dxa"/>
              <w:bottom w:w="0" w:type="dxa"/>
              <w:right w:w="15" w:type="dxa"/>
            </w:tcMar>
            <w:vAlign w:val="center"/>
            <w:hideMark/>
          </w:tcPr>
          <w:p w14:paraId="47D53F9C" w14:textId="77777777" w:rsidR="00EA1E9E" w:rsidRPr="00A37DFB" w:rsidRDefault="00EA1E9E" w:rsidP="00D66F20">
            <w:pPr>
              <w:spacing w:after="0" w:line="360" w:lineRule="auto"/>
              <w:jc w:val="both"/>
              <w:rPr>
                <w:rFonts w:eastAsia="Times New Roman"/>
                <w:b/>
                <w:bCs/>
                <w:color w:val="000000"/>
              </w:rPr>
            </w:pPr>
            <w:r w:rsidRPr="00A37DFB">
              <w:rPr>
                <w:rFonts w:eastAsia="Times New Roman"/>
                <w:b/>
                <w:bCs/>
                <w:color w:val="000000"/>
              </w:rPr>
              <w:t>CRITERIO</w:t>
            </w:r>
            <w:bookmarkStart w:id="0" w:name="_GoBack"/>
            <w:bookmarkEnd w:id="0"/>
          </w:p>
        </w:tc>
        <w:tc>
          <w:tcPr>
            <w:tcW w:w="1286" w:type="dxa"/>
            <w:shd w:val="clear" w:color="auto" w:fill="auto"/>
            <w:tcMar>
              <w:top w:w="15" w:type="dxa"/>
              <w:left w:w="15" w:type="dxa"/>
              <w:bottom w:w="0" w:type="dxa"/>
              <w:right w:w="15" w:type="dxa"/>
            </w:tcMar>
            <w:vAlign w:val="center"/>
            <w:hideMark/>
          </w:tcPr>
          <w:p w14:paraId="5AF60C93" w14:textId="77777777" w:rsidR="00EA1E9E" w:rsidRPr="00A37DFB" w:rsidRDefault="00EA1E9E" w:rsidP="00D66F20">
            <w:pPr>
              <w:spacing w:after="0" w:line="360" w:lineRule="auto"/>
              <w:jc w:val="both"/>
              <w:rPr>
                <w:rFonts w:eastAsia="Times New Roman"/>
                <w:b/>
                <w:bCs/>
                <w:color w:val="000000"/>
              </w:rPr>
            </w:pPr>
            <w:r w:rsidRPr="00A37DFB">
              <w:rPr>
                <w:rFonts w:eastAsia="Times New Roman"/>
                <w:b/>
                <w:bCs/>
                <w:color w:val="000000"/>
              </w:rPr>
              <w:t>PUNTAJE</w:t>
            </w:r>
          </w:p>
        </w:tc>
      </w:tr>
      <w:tr w:rsidR="00EA1E9E" w:rsidRPr="00A37DFB" w14:paraId="16969701" w14:textId="77777777" w:rsidTr="00762ADA">
        <w:trPr>
          <w:trHeight w:val="626"/>
          <w:jc w:val="center"/>
        </w:trPr>
        <w:tc>
          <w:tcPr>
            <w:tcW w:w="6096" w:type="dxa"/>
            <w:shd w:val="clear" w:color="auto" w:fill="auto"/>
            <w:tcMar>
              <w:top w:w="15" w:type="dxa"/>
              <w:left w:w="15" w:type="dxa"/>
              <w:bottom w:w="0" w:type="dxa"/>
              <w:right w:w="15" w:type="dxa"/>
            </w:tcMar>
            <w:vAlign w:val="center"/>
          </w:tcPr>
          <w:p w14:paraId="2E6EF471" w14:textId="77777777" w:rsidR="00EA1E9E" w:rsidRPr="00A37DFB" w:rsidRDefault="00EA1E9E" w:rsidP="00D66F20">
            <w:pPr>
              <w:pStyle w:val="Prrafodelista"/>
              <w:numPr>
                <w:ilvl w:val="0"/>
                <w:numId w:val="3"/>
              </w:numPr>
              <w:spacing w:after="0" w:line="360" w:lineRule="auto"/>
              <w:ind w:left="411" w:firstLine="0"/>
              <w:jc w:val="both"/>
              <w:rPr>
                <w:rFonts w:eastAsia="Times New Roman"/>
                <w:b/>
                <w:color w:val="000000"/>
              </w:rPr>
            </w:pPr>
            <w:r w:rsidRPr="00A37DFB">
              <w:rPr>
                <w:rFonts w:eastAsia="Times New Roman"/>
                <w:b/>
                <w:color w:val="000000"/>
              </w:rPr>
              <w:t xml:space="preserve">Antecedentes </w:t>
            </w:r>
          </w:p>
          <w:p w14:paraId="71A45955" w14:textId="79E84938" w:rsidR="005A5D66" w:rsidRPr="00A37DFB" w:rsidRDefault="00A81C06" w:rsidP="00D66F20">
            <w:pPr>
              <w:pStyle w:val="Prrafodelista"/>
              <w:numPr>
                <w:ilvl w:val="0"/>
                <w:numId w:val="4"/>
              </w:numPr>
              <w:spacing w:after="0" w:line="360" w:lineRule="auto"/>
              <w:ind w:left="694" w:hanging="283"/>
              <w:jc w:val="both"/>
              <w:rPr>
                <w:rFonts w:eastAsia="Times New Roman"/>
                <w:b/>
                <w:color w:val="000000"/>
              </w:rPr>
            </w:pPr>
            <w:r w:rsidRPr="00A37DFB">
              <w:rPr>
                <w:rFonts w:eastAsia="Times New Roman"/>
                <w:color w:val="000000"/>
              </w:rPr>
              <w:t>Contractuales (5</w:t>
            </w:r>
            <w:r w:rsidR="005A5D66" w:rsidRPr="00A37DFB">
              <w:rPr>
                <w:rFonts w:eastAsia="Times New Roman"/>
                <w:color w:val="000000"/>
              </w:rPr>
              <w:t>)</w:t>
            </w:r>
          </w:p>
          <w:p w14:paraId="4903FA41" w14:textId="4F4308F6" w:rsidR="00201906" w:rsidRPr="00A37DFB" w:rsidRDefault="00B847B8" w:rsidP="00201906">
            <w:pPr>
              <w:pStyle w:val="Prrafodelista"/>
              <w:numPr>
                <w:ilvl w:val="0"/>
                <w:numId w:val="4"/>
              </w:numPr>
              <w:spacing w:after="0" w:line="360" w:lineRule="auto"/>
              <w:ind w:left="694" w:hanging="283"/>
              <w:jc w:val="both"/>
              <w:rPr>
                <w:rFonts w:eastAsia="Times New Roman"/>
                <w:b/>
                <w:color w:val="000000"/>
              </w:rPr>
            </w:pPr>
            <w:r w:rsidRPr="00A37DFB">
              <w:rPr>
                <w:rFonts w:eastAsia="Times New Roman"/>
                <w:color w:val="000000"/>
              </w:rPr>
              <w:t>Comerciales (5</w:t>
            </w:r>
            <w:r w:rsidR="005A5D66" w:rsidRPr="00A37DFB">
              <w:rPr>
                <w:rFonts w:eastAsia="Times New Roman"/>
                <w:color w:val="000000"/>
              </w:rPr>
              <w:t>)</w:t>
            </w:r>
          </w:p>
        </w:tc>
        <w:tc>
          <w:tcPr>
            <w:tcW w:w="1286" w:type="dxa"/>
            <w:shd w:val="clear" w:color="auto" w:fill="auto"/>
            <w:tcMar>
              <w:top w:w="15" w:type="dxa"/>
              <w:left w:w="15" w:type="dxa"/>
              <w:bottom w:w="0" w:type="dxa"/>
              <w:right w:w="15" w:type="dxa"/>
            </w:tcMar>
            <w:vAlign w:val="center"/>
          </w:tcPr>
          <w:p w14:paraId="38A46A81" w14:textId="53031853" w:rsidR="00EA1E9E" w:rsidRPr="00A37DFB" w:rsidRDefault="00B847B8" w:rsidP="00D66F20">
            <w:pPr>
              <w:spacing w:after="0" w:line="360" w:lineRule="auto"/>
              <w:jc w:val="both"/>
              <w:rPr>
                <w:rFonts w:eastAsia="Times New Roman"/>
                <w:b/>
                <w:bCs/>
                <w:color w:val="000000"/>
              </w:rPr>
            </w:pPr>
            <w:r w:rsidRPr="00A37DFB">
              <w:rPr>
                <w:rFonts w:eastAsia="Times New Roman"/>
                <w:b/>
                <w:bCs/>
                <w:color w:val="000000"/>
              </w:rPr>
              <w:t>10</w:t>
            </w:r>
          </w:p>
        </w:tc>
      </w:tr>
      <w:tr w:rsidR="00EA1E9E" w:rsidRPr="00A37DFB" w14:paraId="2A47D992" w14:textId="77777777" w:rsidTr="00762ADA">
        <w:trPr>
          <w:trHeight w:val="626"/>
          <w:jc w:val="center"/>
        </w:trPr>
        <w:tc>
          <w:tcPr>
            <w:tcW w:w="6096" w:type="dxa"/>
            <w:shd w:val="clear" w:color="auto" w:fill="auto"/>
            <w:tcMar>
              <w:top w:w="15" w:type="dxa"/>
              <w:left w:w="15" w:type="dxa"/>
              <w:bottom w:w="0" w:type="dxa"/>
              <w:right w:w="15" w:type="dxa"/>
            </w:tcMar>
            <w:vAlign w:val="center"/>
          </w:tcPr>
          <w:p w14:paraId="2A2BC76C" w14:textId="77777777" w:rsidR="00EA1E9E" w:rsidRPr="00A37DFB" w:rsidRDefault="00EA1E9E" w:rsidP="00D66F20">
            <w:pPr>
              <w:pStyle w:val="Prrafodelista"/>
              <w:numPr>
                <w:ilvl w:val="0"/>
                <w:numId w:val="3"/>
              </w:numPr>
              <w:spacing w:after="0" w:line="360" w:lineRule="auto"/>
              <w:jc w:val="both"/>
              <w:rPr>
                <w:b/>
              </w:rPr>
            </w:pPr>
            <w:r w:rsidRPr="00A37DFB">
              <w:rPr>
                <w:b/>
              </w:rPr>
              <w:t>Periodo de garantía</w:t>
            </w:r>
          </w:p>
        </w:tc>
        <w:tc>
          <w:tcPr>
            <w:tcW w:w="1286" w:type="dxa"/>
            <w:shd w:val="clear" w:color="auto" w:fill="auto"/>
            <w:tcMar>
              <w:top w:w="15" w:type="dxa"/>
              <w:left w:w="15" w:type="dxa"/>
              <w:bottom w:w="0" w:type="dxa"/>
              <w:right w:w="15" w:type="dxa"/>
            </w:tcMar>
            <w:vAlign w:val="center"/>
          </w:tcPr>
          <w:p w14:paraId="6C8E4DB4" w14:textId="4FFF8317" w:rsidR="00EA1E9E" w:rsidRPr="00A37DFB" w:rsidRDefault="00FA2857" w:rsidP="00D66F20">
            <w:pPr>
              <w:spacing w:after="0" w:line="360" w:lineRule="auto"/>
              <w:jc w:val="both"/>
              <w:rPr>
                <w:rFonts w:eastAsia="Times New Roman"/>
                <w:b/>
                <w:bCs/>
                <w:color w:val="000000"/>
              </w:rPr>
            </w:pPr>
            <w:r w:rsidRPr="00A37DFB">
              <w:rPr>
                <w:rFonts w:eastAsia="Times New Roman"/>
                <w:b/>
                <w:bCs/>
                <w:color w:val="000000"/>
              </w:rPr>
              <w:t>5</w:t>
            </w:r>
          </w:p>
        </w:tc>
      </w:tr>
      <w:tr w:rsidR="00EA1E9E" w:rsidRPr="00A37DFB" w14:paraId="541FD7C0" w14:textId="77777777" w:rsidTr="00762ADA">
        <w:trPr>
          <w:trHeight w:val="626"/>
          <w:jc w:val="center"/>
        </w:trPr>
        <w:tc>
          <w:tcPr>
            <w:tcW w:w="6096" w:type="dxa"/>
            <w:shd w:val="clear" w:color="auto" w:fill="auto"/>
            <w:tcMar>
              <w:top w:w="15" w:type="dxa"/>
              <w:left w:w="15" w:type="dxa"/>
              <w:bottom w:w="0" w:type="dxa"/>
              <w:right w:w="15" w:type="dxa"/>
            </w:tcMar>
            <w:vAlign w:val="center"/>
          </w:tcPr>
          <w:p w14:paraId="21726E2A" w14:textId="44E342C3" w:rsidR="00EA1E9E" w:rsidRPr="00A37DFB" w:rsidRDefault="00201906" w:rsidP="00D66F20">
            <w:pPr>
              <w:pStyle w:val="Prrafodelista"/>
              <w:numPr>
                <w:ilvl w:val="0"/>
                <w:numId w:val="3"/>
              </w:numPr>
              <w:spacing w:after="0" w:line="360" w:lineRule="auto"/>
              <w:jc w:val="both"/>
              <w:rPr>
                <w:rFonts w:eastAsia="Times New Roman"/>
                <w:b/>
                <w:color w:val="000000"/>
              </w:rPr>
            </w:pPr>
            <w:r w:rsidRPr="00A37DFB">
              <w:rPr>
                <w:rFonts w:eastAsia="Times New Roman"/>
                <w:b/>
                <w:color w:val="000000"/>
              </w:rPr>
              <w:t>Características Técnicas</w:t>
            </w:r>
          </w:p>
          <w:p w14:paraId="4428169B" w14:textId="54247A64" w:rsidR="00B847B8" w:rsidRPr="00A37DFB" w:rsidRDefault="00B847B8" w:rsidP="00201906">
            <w:pPr>
              <w:pStyle w:val="Prrafodelista"/>
              <w:numPr>
                <w:ilvl w:val="0"/>
                <w:numId w:val="14"/>
              </w:numPr>
              <w:spacing w:after="0" w:line="360" w:lineRule="auto"/>
              <w:jc w:val="both"/>
              <w:rPr>
                <w:rFonts w:eastAsia="Times New Roman"/>
                <w:b/>
                <w:color w:val="000000"/>
              </w:rPr>
            </w:pPr>
            <w:r w:rsidRPr="00A37DFB">
              <w:rPr>
                <w:rFonts w:eastAsia="Times New Roman"/>
                <w:color w:val="000000"/>
              </w:rPr>
              <w:t>Resistencia de los materiales de construcción (5)</w:t>
            </w:r>
          </w:p>
          <w:p w14:paraId="21FF0C0A" w14:textId="431CC18C" w:rsidR="00B847B8" w:rsidRPr="00A37DFB" w:rsidRDefault="00FE09B7" w:rsidP="00201906">
            <w:pPr>
              <w:pStyle w:val="Prrafodelista"/>
              <w:numPr>
                <w:ilvl w:val="0"/>
                <w:numId w:val="14"/>
              </w:numPr>
              <w:spacing w:after="0" w:line="360" w:lineRule="auto"/>
              <w:jc w:val="both"/>
              <w:rPr>
                <w:rFonts w:eastAsia="Times New Roman"/>
                <w:b/>
                <w:color w:val="000000"/>
              </w:rPr>
            </w:pPr>
            <w:r w:rsidRPr="00A37DFB">
              <w:rPr>
                <w:rFonts w:eastAsia="Times New Roman"/>
                <w:color w:val="000000"/>
              </w:rPr>
              <w:t>Potencia de los motores (5</w:t>
            </w:r>
            <w:r w:rsidR="00B847B8" w:rsidRPr="00A37DFB">
              <w:rPr>
                <w:rFonts w:eastAsia="Times New Roman"/>
                <w:color w:val="000000"/>
              </w:rPr>
              <w:t>)</w:t>
            </w:r>
          </w:p>
          <w:p w14:paraId="61D0EF2B" w14:textId="44C57A03" w:rsidR="00FA2857" w:rsidRPr="00A37DFB" w:rsidRDefault="00B847B8" w:rsidP="00201906">
            <w:pPr>
              <w:pStyle w:val="Prrafodelista"/>
              <w:numPr>
                <w:ilvl w:val="0"/>
                <w:numId w:val="14"/>
              </w:numPr>
              <w:spacing w:after="0" w:line="360" w:lineRule="auto"/>
              <w:jc w:val="both"/>
              <w:rPr>
                <w:rFonts w:eastAsia="Times New Roman"/>
                <w:b/>
                <w:color w:val="000000"/>
              </w:rPr>
            </w:pPr>
            <w:r w:rsidRPr="00A37DFB">
              <w:rPr>
                <w:rFonts w:eastAsia="Times New Roman"/>
                <w:color w:val="000000"/>
              </w:rPr>
              <w:t>Capacidad de carga dinámica (5</w:t>
            </w:r>
            <w:r w:rsidR="00931ED7" w:rsidRPr="00A37DFB">
              <w:rPr>
                <w:rFonts w:eastAsia="Times New Roman"/>
                <w:color w:val="000000"/>
              </w:rPr>
              <w:t>)</w:t>
            </w:r>
          </w:p>
          <w:p w14:paraId="22DFE0A3" w14:textId="07124B48" w:rsidR="00931ED7" w:rsidRPr="00A37DFB" w:rsidRDefault="00B847B8" w:rsidP="00201906">
            <w:pPr>
              <w:pStyle w:val="Prrafodelista"/>
              <w:numPr>
                <w:ilvl w:val="0"/>
                <w:numId w:val="14"/>
              </w:numPr>
              <w:spacing w:after="0" w:line="360" w:lineRule="auto"/>
              <w:jc w:val="both"/>
              <w:rPr>
                <w:rFonts w:eastAsia="Times New Roman"/>
                <w:b/>
                <w:color w:val="000000"/>
              </w:rPr>
            </w:pPr>
            <w:r w:rsidRPr="00A37DFB">
              <w:rPr>
                <w:rFonts w:eastAsia="Times New Roman"/>
                <w:color w:val="000000"/>
              </w:rPr>
              <w:t>Capacidad de carga estática (5</w:t>
            </w:r>
            <w:r w:rsidR="00931ED7" w:rsidRPr="00A37DFB">
              <w:rPr>
                <w:rFonts w:eastAsia="Times New Roman"/>
                <w:color w:val="000000"/>
              </w:rPr>
              <w:t>)</w:t>
            </w:r>
          </w:p>
          <w:p w14:paraId="6096A88F" w14:textId="6F537DF2" w:rsidR="00C03523" w:rsidRPr="00A37DFB" w:rsidRDefault="00B847B8" w:rsidP="00201906">
            <w:pPr>
              <w:pStyle w:val="Prrafodelista"/>
              <w:numPr>
                <w:ilvl w:val="0"/>
                <w:numId w:val="14"/>
              </w:numPr>
              <w:spacing w:after="0" w:line="360" w:lineRule="auto"/>
              <w:jc w:val="both"/>
              <w:rPr>
                <w:rFonts w:eastAsia="Times New Roman"/>
                <w:b/>
                <w:color w:val="000000"/>
              </w:rPr>
            </w:pPr>
            <w:r w:rsidRPr="00A37DFB">
              <w:rPr>
                <w:rFonts w:eastAsia="Times New Roman"/>
                <w:color w:val="000000"/>
              </w:rPr>
              <w:t xml:space="preserve">Densidad del </w:t>
            </w:r>
            <w:r w:rsidR="00FE09B7" w:rsidRPr="00A37DFB">
              <w:rPr>
                <w:rFonts w:eastAsia="Times New Roman"/>
                <w:color w:val="000000"/>
              </w:rPr>
              <w:t>colchón (5</w:t>
            </w:r>
            <w:r w:rsidR="00C03523" w:rsidRPr="00A37DFB">
              <w:rPr>
                <w:rFonts w:eastAsia="Times New Roman"/>
                <w:color w:val="000000"/>
              </w:rPr>
              <w:t>)</w:t>
            </w:r>
          </w:p>
          <w:p w14:paraId="401D393A" w14:textId="54CF021D" w:rsidR="00EA50D8" w:rsidRPr="00A37DFB" w:rsidRDefault="00B847B8" w:rsidP="00201906">
            <w:pPr>
              <w:pStyle w:val="Prrafodelista"/>
              <w:numPr>
                <w:ilvl w:val="0"/>
                <w:numId w:val="14"/>
              </w:numPr>
              <w:spacing w:after="0" w:line="360" w:lineRule="auto"/>
              <w:jc w:val="both"/>
              <w:rPr>
                <w:rFonts w:eastAsia="Times New Roman"/>
                <w:b/>
                <w:color w:val="000000"/>
              </w:rPr>
            </w:pPr>
            <w:r w:rsidRPr="00A37DFB">
              <w:rPr>
                <w:rFonts w:eastAsia="Times New Roman"/>
                <w:color w:val="000000"/>
              </w:rPr>
              <w:t>Tamaño de la cama eléctrica (5)</w:t>
            </w:r>
          </w:p>
          <w:p w14:paraId="58CDAA61" w14:textId="42458E5B" w:rsidR="00B847B8" w:rsidRPr="00A37DFB" w:rsidRDefault="00B847B8" w:rsidP="00201906">
            <w:pPr>
              <w:pStyle w:val="Prrafodelista"/>
              <w:numPr>
                <w:ilvl w:val="0"/>
                <w:numId w:val="14"/>
              </w:numPr>
              <w:spacing w:after="0" w:line="360" w:lineRule="auto"/>
              <w:jc w:val="both"/>
              <w:rPr>
                <w:rFonts w:eastAsia="Times New Roman"/>
                <w:b/>
                <w:color w:val="000000"/>
              </w:rPr>
            </w:pPr>
            <w:r w:rsidRPr="00A37DFB">
              <w:rPr>
                <w:rFonts w:eastAsia="Times New Roman"/>
                <w:color w:val="000000"/>
              </w:rPr>
              <w:t>Funcionalidad del mano de control (2,5)</w:t>
            </w:r>
          </w:p>
          <w:p w14:paraId="3DF8F69B" w14:textId="6368D0DB" w:rsidR="00B847B8" w:rsidRPr="00A37DFB" w:rsidRDefault="00B847B8" w:rsidP="00FE09B7">
            <w:pPr>
              <w:pStyle w:val="Prrafodelista"/>
              <w:numPr>
                <w:ilvl w:val="0"/>
                <w:numId w:val="14"/>
              </w:numPr>
              <w:spacing w:after="0" w:line="360" w:lineRule="auto"/>
              <w:jc w:val="both"/>
              <w:rPr>
                <w:rFonts w:eastAsia="Times New Roman"/>
                <w:b/>
                <w:color w:val="000000"/>
              </w:rPr>
            </w:pPr>
            <w:r w:rsidRPr="00A37DFB">
              <w:rPr>
                <w:rFonts w:eastAsia="Times New Roman"/>
                <w:color w:val="000000"/>
              </w:rPr>
              <w:t>Batería de respaldo (2,5)</w:t>
            </w:r>
          </w:p>
        </w:tc>
        <w:tc>
          <w:tcPr>
            <w:tcW w:w="1286" w:type="dxa"/>
            <w:shd w:val="clear" w:color="auto" w:fill="auto"/>
            <w:tcMar>
              <w:top w:w="15" w:type="dxa"/>
              <w:left w:w="15" w:type="dxa"/>
              <w:bottom w:w="0" w:type="dxa"/>
              <w:right w:w="15" w:type="dxa"/>
            </w:tcMar>
            <w:vAlign w:val="center"/>
          </w:tcPr>
          <w:p w14:paraId="13197EBD" w14:textId="14AAC668" w:rsidR="00EA1E9E" w:rsidRPr="00A37DFB" w:rsidRDefault="00FE09B7" w:rsidP="00D66F20">
            <w:pPr>
              <w:spacing w:after="0" w:line="360" w:lineRule="auto"/>
              <w:jc w:val="both"/>
              <w:rPr>
                <w:rFonts w:eastAsia="Times New Roman"/>
                <w:b/>
                <w:bCs/>
                <w:color w:val="000000"/>
              </w:rPr>
            </w:pPr>
            <w:r w:rsidRPr="00A37DFB">
              <w:rPr>
                <w:rFonts w:eastAsia="Times New Roman"/>
                <w:b/>
                <w:bCs/>
                <w:color w:val="000000"/>
              </w:rPr>
              <w:t>35</w:t>
            </w:r>
          </w:p>
        </w:tc>
      </w:tr>
      <w:tr w:rsidR="00EA1E9E" w:rsidRPr="00A37DFB" w14:paraId="36551FB7" w14:textId="77777777" w:rsidTr="00762ADA">
        <w:trPr>
          <w:trHeight w:val="626"/>
          <w:jc w:val="center"/>
        </w:trPr>
        <w:tc>
          <w:tcPr>
            <w:tcW w:w="6096" w:type="dxa"/>
            <w:shd w:val="clear" w:color="auto" w:fill="auto"/>
            <w:tcMar>
              <w:top w:w="15" w:type="dxa"/>
              <w:left w:w="15" w:type="dxa"/>
              <w:bottom w:w="0" w:type="dxa"/>
              <w:right w:w="15" w:type="dxa"/>
            </w:tcMar>
            <w:vAlign w:val="center"/>
            <w:hideMark/>
          </w:tcPr>
          <w:p w14:paraId="64A4B857" w14:textId="77777777" w:rsidR="00EA1E9E" w:rsidRPr="00A37DFB" w:rsidRDefault="00EA1E9E" w:rsidP="00D66F20">
            <w:pPr>
              <w:pStyle w:val="Prrafodelista"/>
              <w:numPr>
                <w:ilvl w:val="0"/>
                <w:numId w:val="3"/>
              </w:numPr>
              <w:spacing w:after="0" w:line="360" w:lineRule="auto"/>
              <w:jc w:val="both"/>
              <w:rPr>
                <w:rFonts w:eastAsia="Times New Roman"/>
                <w:b/>
                <w:color w:val="000000"/>
              </w:rPr>
            </w:pPr>
            <w:r w:rsidRPr="00A37DFB">
              <w:rPr>
                <w:rFonts w:eastAsia="Times New Roman"/>
                <w:b/>
                <w:color w:val="000000"/>
              </w:rPr>
              <w:t>Plazo de Entrega o Ejecución</w:t>
            </w:r>
          </w:p>
        </w:tc>
        <w:tc>
          <w:tcPr>
            <w:tcW w:w="1286" w:type="dxa"/>
            <w:shd w:val="clear" w:color="auto" w:fill="auto"/>
            <w:tcMar>
              <w:top w:w="15" w:type="dxa"/>
              <w:left w:w="15" w:type="dxa"/>
              <w:bottom w:w="0" w:type="dxa"/>
              <w:right w:w="15" w:type="dxa"/>
            </w:tcMar>
            <w:vAlign w:val="center"/>
            <w:hideMark/>
          </w:tcPr>
          <w:p w14:paraId="1E40C869" w14:textId="13F3868F" w:rsidR="00EA1E9E" w:rsidRPr="00A37DFB" w:rsidRDefault="00B847B8" w:rsidP="00D66F20">
            <w:pPr>
              <w:spacing w:after="0" w:line="360" w:lineRule="auto"/>
              <w:jc w:val="both"/>
              <w:rPr>
                <w:rFonts w:eastAsia="Times New Roman"/>
                <w:b/>
                <w:bCs/>
                <w:color w:val="000000"/>
              </w:rPr>
            </w:pPr>
            <w:r w:rsidRPr="00A37DFB">
              <w:rPr>
                <w:rFonts w:eastAsia="Times New Roman"/>
                <w:b/>
                <w:bCs/>
                <w:color w:val="000000"/>
              </w:rPr>
              <w:t>5</w:t>
            </w:r>
          </w:p>
        </w:tc>
      </w:tr>
      <w:tr w:rsidR="00EA1E9E" w:rsidRPr="00A37DFB" w14:paraId="3089BFAE" w14:textId="77777777" w:rsidTr="00762ADA">
        <w:trPr>
          <w:trHeight w:val="626"/>
          <w:jc w:val="center"/>
        </w:trPr>
        <w:tc>
          <w:tcPr>
            <w:tcW w:w="6096" w:type="dxa"/>
            <w:shd w:val="clear" w:color="auto" w:fill="auto"/>
            <w:tcMar>
              <w:top w:w="15" w:type="dxa"/>
              <w:left w:w="15" w:type="dxa"/>
              <w:bottom w:w="0" w:type="dxa"/>
              <w:right w:w="15" w:type="dxa"/>
            </w:tcMar>
            <w:vAlign w:val="center"/>
          </w:tcPr>
          <w:p w14:paraId="7AAE7277" w14:textId="77777777" w:rsidR="00EA1E9E" w:rsidRPr="00A37DFB" w:rsidRDefault="00EA1E9E" w:rsidP="00D66F20">
            <w:pPr>
              <w:pStyle w:val="Prrafodelista"/>
              <w:numPr>
                <w:ilvl w:val="0"/>
                <w:numId w:val="3"/>
              </w:numPr>
              <w:spacing w:after="0" w:line="360" w:lineRule="auto"/>
              <w:jc w:val="both"/>
              <w:rPr>
                <w:rFonts w:eastAsia="Times New Roman"/>
                <w:color w:val="000000"/>
              </w:rPr>
            </w:pPr>
            <w:r w:rsidRPr="00A37DFB">
              <w:rPr>
                <w:b/>
              </w:rPr>
              <w:t>Acreditación ODS s/ Ley 9193</w:t>
            </w:r>
          </w:p>
        </w:tc>
        <w:tc>
          <w:tcPr>
            <w:tcW w:w="1286" w:type="dxa"/>
            <w:shd w:val="clear" w:color="auto" w:fill="auto"/>
            <w:tcMar>
              <w:top w:w="15" w:type="dxa"/>
              <w:left w:w="15" w:type="dxa"/>
              <w:bottom w:w="0" w:type="dxa"/>
              <w:right w:w="15" w:type="dxa"/>
            </w:tcMar>
            <w:vAlign w:val="center"/>
          </w:tcPr>
          <w:p w14:paraId="116A27E9" w14:textId="77777777" w:rsidR="00EA1E9E" w:rsidRPr="00A37DFB" w:rsidRDefault="00EA1E9E" w:rsidP="00D66F20">
            <w:pPr>
              <w:spacing w:after="0" w:line="360" w:lineRule="auto"/>
              <w:jc w:val="both"/>
              <w:rPr>
                <w:rFonts w:eastAsia="Times New Roman"/>
                <w:b/>
                <w:bCs/>
                <w:color w:val="000000"/>
              </w:rPr>
            </w:pPr>
            <w:r w:rsidRPr="00A37DFB">
              <w:rPr>
                <w:rFonts w:eastAsia="Times New Roman"/>
                <w:b/>
                <w:bCs/>
                <w:color w:val="000000"/>
              </w:rPr>
              <w:t>10</w:t>
            </w:r>
          </w:p>
        </w:tc>
      </w:tr>
      <w:tr w:rsidR="00EA1E9E" w:rsidRPr="00A37DFB" w14:paraId="06FBE7A9" w14:textId="77777777" w:rsidTr="00762ADA">
        <w:trPr>
          <w:trHeight w:val="626"/>
          <w:jc w:val="center"/>
        </w:trPr>
        <w:tc>
          <w:tcPr>
            <w:tcW w:w="6096" w:type="dxa"/>
            <w:shd w:val="clear" w:color="auto" w:fill="auto"/>
            <w:tcMar>
              <w:top w:w="15" w:type="dxa"/>
              <w:left w:w="15" w:type="dxa"/>
              <w:bottom w:w="0" w:type="dxa"/>
              <w:right w:w="15" w:type="dxa"/>
            </w:tcMar>
            <w:vAlign w:val="center"/>
          </w:tcPr>
          <w:p w14:paraId="2F8B4C3B" w14:textId="77777777" w:rsidR="00EA1E9E" w:rsidRPr="00A37DFB" w:rsidRDefault="00EA1E9E" w:rsidP="00D66F20">
            <w:pPr>
              <w:pStyle w:val="Prrafodelista"/>
              <w:numPr>
                <w:ilvl w:val="0"/>
                <w:numId w:val="3"/>
              </w:numPr>
              <w:spacing w:after="0" w:line="360" w:lineRule="auto"/>
              <w:jc w:val="both"/>
              <w:rPr>
                <w:rFonts w:eastAsia="Times New Roman"/>
                <w:b/>
                <w:color w:val="000000"/>
              </w:rPr>
            </w:pPr>
            <w:r w:rsidRPr="00A37DFB">
              <w:rPr>
                <w:rFonts w:eastAsia="Times New Roman"/>
                <w:b/>
                <w:color w:val="000000"/>
              </w:rPr>
              <w:t>Oferta Económica</w:t>
            </w:r>
          </w:p>
        </w:tc>
        <w:tc>
          <w:tcPr>
            <w:tcW w:w="1286" w:type="dxa"/>
            <w:shd w:val="clear" w:color="auto" w:fill="auto"/>
            <w:tcMar>
              <w:top w:w="15" w:type="dxa"/>
              <w:left w:w="15" w:type="dxa"/>
              <w:bottom w:w="0" w:type="dxa"/>
              <w:right w:w="15" w:type="dxa"/>
            </w:tcMar>
            <w:vAlign w:val="center"/>
          </w:tcPr>
          <w:p w14:paraId="0DF83AFE" w14:textId="0F10264A" w:rsidR="00EA1E9E" w:rsidRPr="00A37DFB" w:rsidRDefault="00FE09B7" w:rsidP="00D66F20">
            <w:pPr>
              <w:spacing w:after="0" w:line="360" w:lineRule="auto"/>
              <w:jc w:val="both"/>
              <w:rPr>
                <w:rFonts w:eastAsia="Times New Roman"/>
                <w:b/>
                <w:bCs/>
                <w:color w:val="000000"/>
              </w:rPr>
            </w:pPr>
            <w:r w:rsidRPr="00A37DFB">
              <w:rPr>
                <w:rFonts w:eastAsia="Times New Roman"/>
                <w:b/>
                <w:bCs/>
                <w:color w:val="000000"/>
              </w:rPr>
              <w:t>35</w:t>
            </w:r>
          </w:p>
        </w:tc>
      </w:tr>
      <w:tr w:rsidR="00EA1E9E" w:rsidRPr="00A37DFB" w14:paraId="799548CF" w14:textId="77777777" w:rsidTr="00762ADA">
        <w:trPr>
          <w:trHeight w:val="626"/>
          <w:jc w:val="center"/>
        </w:trPr>
        <w:tc>
          <w:tcPr>
            <w:tcW w:w="6096" w:type="dxa"/>
            <w:shd w:val="clear" w:color="auto" w:fill="auto"/>
            <w:tcMar>
              <w:top w:w="15" w:type="dxa"/>
              <w:left w:w="15" w:type="dxa"/>
              <w:bottom w:w="0" w:type="dxa"/>
              <w:right w:w="15" w:type="dxa"/>
            </w:tcMar>
            <w:vAlign w:val="center"/>
            <w:hideMark/>
          </w:tcPr>
          <w:p w14:paraId="08F2F984" w14:textId="77777777" w:rsidR="00EA1E9E" w:rsidRPr="00A37DFB" w:rsidRDefault="00EA1E9E" w:rsidP="00D66F20">
            <w:pPr>
              <w:spacing w:after="0" w:line="360" w:lineRule="auto"/>
              <w:jc w:val="both"/>
              <w:rPr>
                <w:rFonts w:eastAsia="Times New Roman"/>
                <w:b/>
                <w:bCs/>
                <w:color w:val="000000"/>
              </w:rPr>
            </w:pPr>
            <w:r w:rsidRPr="00A37DFB">
              <w:rPr>
                <w:rFonts w:eastAsia="Times New Roman"/>
                <w:b/>
                <w:bCs/>
                <w:color w:val="000000"/>
              </w:rPr>
              <w:t>TOTAL</w:t>
            </w:r>
          </w:p>
        </w:tc>
        <w:tc>
          <w:tcPr>
            <w:tcW w:w="1286" w:type="dxa"/>
            <w:shd w:val="clear" w:color="auto" w:fill="auto"/>
            <w:tcMar>
              <w:top w:w="15" w:type="dxa"/>
              <w:left w:w="15" w:type="dxa"/>
              <w:bottom w:w="0" w:type="dxa"/>
              <w:right w:w="15" w:type="dxa"/>
            </w:tcMar>
            <w:vAlign w:val="center"/>
            <w:hideMark/>
          </w:tcPr>
          <w:p w14:paraId="6C5AFC7D" w14:textId="77777777" w:rsidR="00EA1E9E" w:rsidRPr="00A37DFB" w:rsidRDefault="00EA1E9E" w:rsidP="00D66F20">
            <w:pPr>
              <w:spacing w:after="0" w:line="360" w:lineRule="auto"/>
              <w:jc w:val="both"/>
              <w:rPr>
                <w:rFonts w:eastAsia="Times New Roman"/>
                <w:b/>
                <w:bCs/>
                <w:color w:val="000000"/>
              </w:rPr>
            </w:pPr>
            <w:r w:rsidRPr="00A37DFB">
              <w:rPr>
                <w:rFonts w:eastAsia="Times New Roman"/>
                <w:b/>
                <w:bCs/>
                <w:color w:val="000000"/>
              </w:rPr>
              <w:t>100</w:t>
            </w:r>
          </w:p>
        </w:tc>
      </w:tr>
    </w:tbl>
    <w:p w14:paraId="6F1721B6" w14:textId="77777777" w:rsidR="00EA1E9E" w:rsidRPr="00A37DFB" w:rsidRDefault="00EA1E9E" w:rsidP="00D66F20">
      <w:pPr>
        <w:pBdr>
          <w:top w:val="nil"/>
          <w:left w:val="nil"/>
          <w:bottom w:val="nil"/>
          <w:right w:val="nil"/>
          <w:between w:val="nil"/>
        </w:pBdr>
        <w:spacing w:after="0" w:line="360" w:lineRule="auto"/>
        <w:jc w:val="both"/>
        <w:rPr>
          <w:rFonts w:eastAsia="Times New Roman"/>
          <w:color w:val="000000"/>
        </w:rPr>
      </w:pPr>
    </w:p>
    <w:p w14:paraId="65752E56" w14:textId="77777777" w:rsidR="005A5D66" w:rsidRPr="00A37DFB" w:rsidRDefault="005A5D66" w:rsidP="00C03523">
      <w:pPr>
        <w:pStyle w:val="Prrafodelista"/>
        <w:numPr>
          <w:ilvl w:val="0"/>
          <w:numId w:val="20"/>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u w:val="single"/>
        </w:rPr>
        <w:t>ANTECEDENTES</w:t>
      </w:r>
      <w:r w:rsidR="00EA1E9E" w:rsidRPr="00A37DFB">
        <w:rPr>
          <w:rFonts w:eastAsia="Times New Roman"/>
          <w:b/>
          <w:color w:val="000000"/>
        </w:rPr>
        <w:t>:</w:t>
      </w:r>
      <w:r w:rsidRPr="00A37DFB">
        <w:rPr>
          <w:rFonts w:eastAsia="Times New Roman"/>
          <w:b/>
          <w:color w:val="000000"/>
        </w:rPr>
        <w:t xml:space="preserve"> </w:t>
      </w:r>
    </w:p>
    <w:p w14:paraId="5B7F96BF" w14:textId="0F43F5FD" w:rsidR="005A5D66" w:rsidRPr="00A37DFB" w:rsidRDefault="005A5D66" w:rsidP="00C03523">
      <w:pPr>
        <w:pStyle w:val="Prrafodelista"/>
        <w:numPr>
          <w:ilvl w:val="0"/>
          <w:numId w:val="21"/>
        </w:numPr>
        <w:spacing w:line="360" w:lineRule="auto"/>
        <w:jc w:val="both"/>
        <w:rPr>
          <w:rFonts w:eastAsia="Times New Roman"/>
          <w:color w:val="000000"/>
        </w:rPr>
      </w:pPr>
      <w:r w:rsidRPr="00A37DFB">
        <w:rPr>
          <w:b/>
        </w:rPr>
        <w:t xml:space="preserve">Contractuales: </w:t>
      </w:r>
      <w:r w:rsidR="0029319C" w:rsidRPr="00A37DFB">
        <w:rPr>
          <w:rFonts w:eastAsia="Times New Roman"/>
          <w:color w:val="000000"/>
        </w:rPr>
        <w:t>s</w:t>
      </w:r>
      <w:r w:rsidRPr="00A37DFB">
        <w:rPr>
          <w:rFonts w:eastAsia="Times New Roman"/>
          <w:color w:val="000000"/>
        </w:rPr>
        <w:t xml:space="preserve">e calificará con el máximo puntaje </w:t>
      </w:r>
      <w:r w:rsidR="00A81C06" w:rsidRPr="00A37DFB">
        <w:rPr>
          <w:rFonts w:eastAsia="Times New Roman"/>
          <w:color w:val="000000"/>
        </w:rPr>
        <w:t>previsto (5</w:t>
      </w:r>
      <w:r w:rsidRPr="00A37DFB">
        <w:rPr>
          <w:rFonts w:eastAsia="Times New Roman"/>
          <w:color w:val="000000"/>
        </w:rPr>
        <w:t xml:space="preserve"> puntos) a los oferentes que no posean antecedentes en el Registro Único de Proveedores de Mendoza, de penalidades o sanciones aplicadas dentro de</w:t>
      </w:r>
      <w:r w:rsidR="00094DC7" w:rsidRPr="00A37DFB">
        <w:rPr>
          <w:rFonts w:eastAsia="Times New Roman"/>
          <w:color w:val="000000"/>
        </w:rPr>
        <w:t xml:space="preserve"> </w:t>
      </w:r>
      <w:r w:rsidRPr="00A37DFB">
        <w:rPr>
          <w:rFonts w:eastAsia="Times New Roman"/>
          <w:color w:val="000000"/>
        </w:rPr>
        <w:t>l</w:t>
      </w:r>
      <w:r w:rsidR="00094DC7" w:rsidRPr="00A37DFB">
        <w:rPr>
          <w:rFonts w:eastAsia="Times New Roman"/>
          <w:color w:val="000000"/>
        </w:rPr>
        <w:t>os últimos 2</w:t>
      </w:r>
      <w:r w:rsidRPr="00A37DFB">
        <w:rPr>
          <w:rFonts w:eastAsia="Times New Roman"/>
          <w:color w:val="000000"/>
        </w:rPr>
        <w:t xml:space="preserve"> año</w:t>
      </w:r>
      <w:r w:rsidR="00094DC7" w:rsidRPr="00A37DFB">
        <w:rPr>
          <w:rFonts w:eastAsia="Times New Roman"/>
          <w:color w:val="000000"/>
        </w:rPr>
        <w:t>s</w:t>
      </w:r>
      <w:r w:rsidRPr="00A37DFB">
        <w:rPr>
          <w:rFonts w:eastAsia="Times New Roman"/>
          <w:color w:val="000000"/>
        </w:rPr>
        <w:t xml:space="preserve"> anterior</w:t>
      </w:r>
      <w:r w:rsidR="00094DC7" w:rsidRPr="00A37DFB">
        <w:rPr>
          <w:rFonts w:eastAsia="Times New Roman"/>
          <w:color w:val="000000"/>
        </w:rPr>
        <w:t>es</w:t>
      </w:r>
      <w:r w:rsidRPr="00A37DFB">
        <w:rPr>
          <w:rFonts w:eastAsia="Times New Roman"/>
          <w:color w:val="000000"/>
        </w:rPr>
        <w:t xml:space="preserve"> a la fecha de apertura de ofertas. En caso de oferentes que no posean en el Registro Único de Proveedores una inscripción vigente en dicho período, </w:t>
      </w:r>
      <w:r w:rsidRPr="00A37DFB">
        <w:rPr>
          <w:rFonts w:eastAsia="Times New Roman"/>
          <w:color w:val="000000"/>
        </w:rPr>
        <w:lastRenderedPageBreak/>
        <w:t>también serán cali</w:t>
      </w:r>
      <w:r w:rsidR="00FA2857" w:rsidRPr="00A37DFB">
        <w:rPr>
          <w:rFonts w:eastAsia="Times New Roman"/>
          <w:color w:val="000000"/>
        </w:rPr>
        <w:t>ficados con el máximo puntaje (5</w:t>
      </w:r>
      <w:r w:rsidRPr="00A37DFB">
        <w:rPr>
          <w:rFonts w:eastAsia="Times New Roman"/>
        </w:rPr>
        <w:t xml:space="preserve"> </w:t>
      </w:r>
      <w:r w:rsidR="00FA2857" w:rsidRPr="00A37DFB">
        <w:rPr>
          <w:rFonts w:eastAsia="Times New Roman"/>
          <w:color w:val="000000"/>
        </w:rPr>
        <w:t xml:space="preserve">puntos). </w:t>
      </w:r>
      <w:r w:rsidRPr="00A37DFB">
        <w:rPr>
          <w:rFonts w:eastAsia="Times New Roman"/>
          <w:color w:val="000000"/>
        </w:rPr>
        <w:t xml:space="preserve">Se calificará con </w:t>
      </w:r>
      <w:r w:rsidRPr="00A37DFB">
        <w:rPr>
          <w:rFonts w:eastAsia="Times New Roman"/>
        </w:rPr>
        <w:t>3</w:t>
      </w:r>
      <w:r w:rsidRPr="00A37DFB">
        <w:rPr>
          <w:rFonts w:eastAsia="Times New Roman"/>
          <w:color w:val="000000"/>
        </w:rPr>
        <w:t xml:space="preserve"> puntos a los oferentes que posean sanciones de apercibimiento dentro de</w:t>
      </w:r>
      <w:r w:rsidR="00094DC7" w:rsidRPr="00A37DFB">
        <w:rPr>
          <w:rFonts w:eastAsia="Times New Roman"/>
          <w:color w:val="000000"/>
        </w:rPr>
        <w:t xml:space="preserve"> </w:t>
      </w:r>
      <w:r w:rsidRPr="00A37DFB">
        <w:rPr>
          <w:rFonts w:eastAsia="Times New Roman"/>
          <w:color w:val="000000"/>
        </w:rPr>
        <w:t>l</w:t>
      </w:r>
      <w:r w:rsidR="00094DC7" w:rsidRPr="00A37DFB">
        <w:rPr>
          <w:rFonts w:eastAsia="Times New Roman"/>
          <w:color w:val="000000"/>
        </w:rPr>
        <w:t>os últimos 2</w:t>
      </w:r>
      <w:r w:rsidRPr="00A37DFB">
        <w:rPr>
          <w:rFonts w:eastAsia="Times New Roman"/>
          <w:color w:val="000000"/>
        </w:rPr>
        <w:t xml:space="preserve"> año</w:t>
      </w:r>
      <w:r w:rsidR="00094DC7" w:rsidRPr="00A37DFB">
        <w:rPr>
          <w:rFonts w:eastAsia="Times New Roman"/>
          <w:color w:val="000000"/>
        </w:rPr>
        <w:t xml:space="preserve">s </w:t>
      </w:r>
      <w:r w:rsidRPr="00A37DFB">
        <w:rPr>
          <w:rFonts w:eastAsia="Times New Roman"/>
          <w:color w:val="000000"/>
        </w:rPr>
        <w:t>anterior</w:t>
      </w:r>
      <w:r w:rsidR="00094DC7" w:rsidRPr="00A37DFB">
        <w:rPr>
          <w:rFonts w:eastAsia="Times New Roman"/>
          <w:color w:val="000000"/>
        </w:rPr>
        <w:t>es</w:t>
      </w:r>
      <w:r w:rsidRPr="00A37DFB">
        <w:rPr>
          <w:rFonts w:eastAsia="Times New Roman"/>
          <w:color w:val="000000"/>
        </w:rPr>
        <w:t xml:space="preserve"> a la fecha de apertura de ofertas, inscriptas en el Registro Único de Proveedores de Mendoza u otros de otra jurisdicción Nacional, Provincial o Municipal. Se calificará también con </w:t>
      </w:r>
      <w:r w:rsidRPr="00A37DFB">
        <w:rPr>
          <w:rFonts w:eastAsia="Times New Roman"/>
        </w:rPr>
        <w:t>3</w:t>
      </w:r>
      <w:r w:rsidRPr="00A37DFB">
        <w:rPr>
          <w:rFonts w:eastAsia="Times New Roman"/>
          <w:color w:val="000000"/>
        </w:rPr>
        <w:t xml:space="preserve">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w:t>
      </w:r>
      <w:r w:rsidR="00094DC7" w:rsidRPr="00A37DFB">
        <w:rPr>
          <w:rFonts w:eastAsia="Times New Roman"/>
          <w:color w:val="000000"/>
        </w:rPr>
        <w:t xml:space="preserve">vincial o Municipal, dentro de los últimos 2 </w:t>
      </w:r>
      <w:r w:rsidRPr="00A37DFB">
        <w:rPr>
          <w:rFonts w:eastAsia="Times New Roman"/>
          <w:color w:val="000000"/>
        </w:rPr>
        <w:t>año</w:t>
      </w:r>
      <w:r w:rsidR="00094DC7" w:rsidRPr="00A37DFB">
        <w:rPr>
          <w:rFonts w:eastAsia="Times New Roman"/>
          <w:color w:val="000000"/>
        </w:rPr>
        <w:t>s</w:t>
      </w:r>
      <w:r w:rsidRPr="00A37DFB">
        <w:rPr>
          <w:rFonts w:eastAsia="Times New Roman"/>
          <w:color w:val="000000"/>
        </w:rPr>
        <w:t xml:space="preserve"> anterior</w:t>
      </w:r>
      <w:r w:rsidR="00094DC7" w:rsidRPr="00A37DFB">
        <w:rPr>
          <w:rFonts w:eastAsia="Times New Roman"/>
          <w:color w:val="000000"/>
        </w:rPr>
        <w:t>es</w:t>
      </w:r>
      <w:r w:rsidRPr="00A37DFB">
        <w:rPr>
          <w:rFonts w:eastAsia="Times New Roman"/>
          <w:color w:val="000000"/>
        </w:rPr>
        <w:t xml:space="preserve"> a la fecha de apertura de ofertas.</w:t>
      </w:r>
    </w:p>
    <w:p w14:paraId="48C700BE" w14:textId="77777777" w:rsidR="005A5D66" w:rsidRPr="00A37DFB" w:rsidRDefault="005A5D66" w:rsidP="00FE09B7">
      <w:pPr>
        <w:spacing w:line="360" w:lineRule="auto"/>
        <w:jc w:val="both"/>
        <w:rPr>
          <w:rFonts w:eastAsia="Times New Roman"/>
          <w:color w:val="000000"/>
        </w:rPr>
      </w:pPr>
      <w:r w:rsidRPr="00A37DFB">
        <w:rPr>
          <w:rFonts w:eastAsia="Times New Roman"/>
          <w:color w:val="000000"/>
        </w:rPr>
        <w:t>A los efectos de la evaluación se considerará la información publicada por el Registro Único de Proveedores Provincial y demás Organismos que administren dichos datos a nivel Nacional, Provincial y Municipal.</w:t>
      </w:r>
    </w:p>
    <w:p w14:paraId="15744D52" w14:textId="49261751" w:rsidR="005A5D66" w:rsidRPr="00A37DFB" w:rsidRDefault="005A5D66" w:rsidP="00C03523">
      <w:pPr>
        <w:pStyle w:val="Textocomentario"/>
        <w:numPr>
          <w:ilvl w:val="0"/>
          <w:numId w:val="21"/>
        </w:numPr>
        <w:spacing w:line="360" w:lineRule="auto"/>
        <w:jc w:val="both"/>
        <w:rPr>
          <w:sz w:val="24"/>
          <w:szCs w:val="24"/>
        </w:rPr>
      </w:pPr>
      <w:r w:rsidRPr="00A37DFB">
        <w:rPr>
          <w:b/>
          <w:sz w:val="24"/>
          <w:szCs w:val="24"/>
        </w:rPr>
        <w:t xml:space="preserve">Comerciales: </w:t>
      </w:r>
      <w:r w:rsidR="0029319C" w:rsidRPr="00A37DFB">
        <w:rPr>
          <w:sz w:val="24"/>
          <w:szCs w:val="24"/>
        </w:rPr>
        <w:t>s</w:t>
      </w:r>
      <w:r w:rsidRPr="00A37DFB">
        <w:rPr>
          <w:sz w:val="24"/>
          <w:szCs w:val="24"/>
        </w:rPr>
        <w:t>e otorga</w:t>
      </w:r>
      <w:r w:rsidR="00F72C50" w:rsidRPr="00A37DFB">
        <w:rPr>
          <w:sz w:val="24"/>
          <w:szCs w:val="24"/>
        </w:rPr>
        <w:t>r</w:t>
      </w:r>
      <w:r w:rsidR="00B847B8" w:rsidRPr="00A37DFB">
        <w:rPr>
          <w:sz w:val="24"/>
          <w:szCs w:val="24"/>
        </w:rPr>
        <w:t>á el máximo puntaje previsto (5</w:t>
      </w:r>
      <w:r w:rsidRPr="00A37DFB">
        <w:rPr>
          <w:sz w:val="24"/>
          <w:szCs w:val="24"/>
        </w:rPr>
        <w:t xml:space="preserve"> puntos), a las ofertas que acrediten el mayor volumen de antecedentes comerciales </w:t>
      </w:r>
      <w:r w:rsidR="00F72C50" w:rsidRPr="00A37DFB">
        <w:rPr>
          <w:sz w:val="24"/>
          <w:szCs w:val="24"/>
        </w:rPr>
        <w:t xml:space="preserve">de características similares a la presente contratación, </w:t>
      </w:r>
      <w:r w:rsidRPr="00A37DFB">
        <w:rPr>
          <w:sz w:val="24"/>
          <w:szCs w:val="24"/>
        </w:rPr>
        <w:t>que se encuentren fehacientemente documentados y/o certificados por comitentes,</w:t>
      </w:r>
      <w:r w:rsidR="00F72C50" w:rsidRPr="00A37DFB">
        <w:rPr>
          <w:sz w:val="24"/>
          <w:szCs w:val="24"/>
        </w:rPr>
        <w:t xml:space="preserve"> dentro de los últimos 2</w:t>
      </w:r>
      <w:r w:rsidR="00094DC7" w:rsidRPr="00A37DFB">
        <w:rPr>
          <w:sz w:val="24"/>
          <w:szCs w:val="24"/>
        </w:rPr>
        <w:t xml:space="preserve"> año</w:t>
      </w:r>
      <w:r w:rsidRPr="00A37DFB">
        <w:rPr>
          <w:sz w:val="24"/>
          <w:szCs w:val="24"/>
        </w:rPr>
        <w:t xml:space="preserve">s anteriores a la publicación de la presente contratación pública. Las demás ofertas serán calificadas con </w:t>
      </w:r>
      <w:r w:rsidR="0029319C" w:rsidRPr="00A37DFB">
        <w:rPr>
          <w:sz w:val="24"/>
          <w:szCs w:val="24"/>
        </w:rPr>
        <w:t>el criterio de proporcionalidad</w:t>
      </w:r>
      <w:r w:rsidRPr="00A37DFB">
        <w:rPr>
          <w:sz w:val="24"/>
          <w:szCs w:val="24"/>
        </w:rPr>
        <w:t>.</w:t>
      </w:r>
    </w:p>
    <w:p w14:paraId="3A863005" w14:textId="5A54C9F2" w:rsidR="00061F23" w:rsidRPr="00A37DFB" w:rsidRDefault="005A5D66" w:rsidP="00FE09B7">
      <w:pPr>
        <w:pStyle w:val="Textocomentario"/>
        <w:spacing w:line="360" w:lineRule="auto"/>
        <w:jc w:val="both"/>
        <w:rPr>
          <w:b/>
          <w:sz w:val="24"/>
          <w:szCs w:val="24"/>
        </w:rPr>
      </w:pPr>
      <w:r w:rsidRPr="00A37DFB">
        <w:rPr>
          <w:b/>
          <w:sz w:val="24"/>
          <w:szCs w:val="24"/>
        </w:rPr>
        <w:t>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w:t>
      </w:r>
      <w:r w:rsidR="00F131FB" w:rsidRPr="00A37DFB">
        <w:rPr>
          <w:b/>
          <w:sz w:val="24"/>
          <w:szCs w:val="24"/>
        </w:rPr>
        <w:t xml:space="preserve">, que según el Pliego de Condiciones Particulares deberá corroborar que el oferente cumple con los requisitos estipulados. </w:t>
      </w:r>
      <w:r w:rsidRPr="00A37DFB">
        <w:rPr>
          <w:b/>
          <w:sz w:val="24"/>
          <w:szCs w:val="24"/>
        </w:rPr>
        <w:t xml:space="preserve">En </w:t>
      </w:r>
      <w:r w:rsidRPr="00A37DFB">
        <w:rPr>
          <w:b/>
          <w:sz w:val="24"/>
          <w:szCs w:val="24"/>
        </w:rPr>
        <w:lastRenderedPageBreak/>
        <w:t xml:space="preserve">cualquier caso, sólo podrán considerarse los documentos comprobatorios emitidos en fecha anterior </w:t>
      </w:r>
      <w:r w:rsidR="00AC48FA" w:rsidRPr="00A37DFB">
        <w:rPr>
          <w:b/>
          <w:sz w:val="24"/>
          <w:szCs w:val="24"/>
        </w:rPr>
        <w:t>al acto de recepción de ofertas</w:t>
      </w:r>
      <w:r w:rsidRPr="00A37DFB">
        <w:rPr>
          <w:b/>
          <w:sz w:val="24"/>
          <w:szCs w:val="24"/>
        </w:rPr>
        <w:t>.</w:t>
      </w:r>
      <w:r w:rsidR="00AC48FA" w:rsidRPr="00A37DFB">
        <w:rPr>
          <w:b/>
          <w:sz w:val="24"/>
          <w:szCs w:val="24"/>
        </w:rPr>
        <w:t xml:space="preserve"> </w:t>
      </w:r>
    </w:p>
    <w:p w14:paraId="564752E9" w14:textId="70AD3900" w:rsidR="00407D27" w:rsidRPr="00A37DFB" w:rsidRDefault="00EA1E9E" w:rsidP="00C03523">
      <w:pPr>
        <w:pStyle w:val="Prrafodelista"/>
        <w:numPr>
          <w:ilvl w:val="0"/>
          <w:numId w:val="20"/>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u w:val="single"/>
        </w:rPr>
        <w:t>PERÌODO DE GARANTÌA</w:t>
      </w:r>
      <w:r w:rsidRPr="00A37DFB">
        <w:rPr>
          <w:rFonts w:eastAsia="Times New Roman"/>
          <w:b/>
          <w:color w:val="000000"/>
        </w:rPr>
        <w:t>:</w:t>
      </w:r>
      <w:r w:rsidRPr="00A37DFB">
        <w:rPr>
          <w:rFonts w:eastAsia="Times New Roman"/>
          <w:color w:val="000000"/>
        </w:rPr>
        <w:t xml:space="preserve"> </w:t>
      </w:r>
      <w:r w:rsidR="00407D27" w:rsidRPr="00A37DFB">
        <w:rPr>
          <w:rFonts w:eastAsia="Times New Roman"/>
          <w:color w:val="000000"/>
        </w:rPr>
        <w:t>la</w:t>
      </w:r>
      <w:r w:rsidR="00CF0F84" w:rsidRPr="00A37DFB">
        <w:rPr>
          <w:rFonts w:eastAsia="Times New Roman"/>
          <w:color w:val="000000"/>
        </w:rPr>
        <w:t xml:space="preserve"> propuesta que presente</w:t>
      </w:r>
      <w:r w:rsidR="003F4540" w:rsidRPr="00A37DFB">
        <w:rPr>
          <w:rFonts w:eastAsia="Times New Roman"/>
          <w:color w:val="000000"/>
        </w:rPr>
        <w:t xml:space="preserve"> en su oferta</w:t>
      </w:r>
      <w:r w:rsidR="00407D27" w:rsidRPr="00A37DFB">
        <w:rPr>
          <w:rFonts w:eastAsia="Times New Roman"/>
          <w:color w:val="000000"/>
        </w:rPr>
        <w:t xml:space="preserve"> el periodo de garantía </w:t>
      </w:r>
      <w:r w:rsidR="00061F23" w:rsidRPr="00A37DFB">
        <w:rPr>
          <w:rFonts w:eastAsia="Times New Roman"/>
          <w:color w:val="000000"/>
        </w:rPr>
        <w:t xml:space="preserve">más amplio, a partir del mínimo </w:t>
      </w:r>
      <w:r w:rsidR="00407D27" w:rsidRPr="00A37DFB">
        <w:rPr>
          <w:rFonts w:eastAsia="Times New Roman"/>
          <w:color w:val="000000"/>
        </w:rPr>
        <w:t xml:space="preserve">requerido en </w:t>
      </w:r>
      <w:r w:rsidRPr="00A37DFB">
        <w:rPr>
          <w:rFonts w:eastAsia="Times New Roman"/>
          <w:color w:val="000000"/>
        </w:rPr>
        <w:t xml:space="preserve">el Pliego </w:t>
      </w:r>
      <w:r w:rsidR="00CF0F84" w:rsidRPr="00A37DFB">
        <w:rPr>
          <w:rFonts w:eastAsia="Times New Roman"/>
          <w:color w:val="000000"/>
        </w:rPr>
        <w:t xml:space="preserve">de Condiciones Particulares, </w:t>
      </w:r>
      <w:r w:rsidR="003F4540" w:rsidRPr="00A37DFB">
        <w:rPr>
          <w:rFonts w:eastAsia="Times New Roman"/>
          <w:color w:val="000000"/>
        </w:rPr>
        <w:t>obt</w:t>
      </w:r>
      <w:r w:rsidR="0029319C" w:rsidRPr="00A37DFB">
        <w:rPr>
          <w:rFonts w:eastAsia="Times New Roman"/>
          <w:color w:val="000000"/>
        </w:rPr>
        <w:t>endrá el mayor puntaje previsto</w:t>
      </w:r>
      <w:r w:rsidR="00CC4C03" w:rsidRPr="00A37DFB">
        <w:rPr>
          <w:rFonts w:eastAsia="Times New Roman"/>
          <w:color w:val="000000"/>
        </w:rPr>
        <w:t xml:space="preserve"> (5 puntos)</w:t>
      </w:r>
      <w:r w:rsidR="0029319C" w:rsidRPr="00A37DFB">
        <w:rPr>
          <w:rFonts w:eastAsia="Times New Roman"/>
          <w:color w:val="000000"/>
        </w:rPr>
        <w:t>. E</w:t>
      </w:r>
      <w:r w:rsidR="003F4540" w:rsidRPr="00A37DFB">
        <w:rPr>
          <w:rFonts w:eastAsia="Times New Roman"/>
          <w:color w:val="000000"/>
        </w:rPr>
        <w:t xml:space="preserve">l resto de las </w:t>
      </w:r>
      <w:r w:rsidRPr="00A37DFB">
        <w:rPr>
          <w:rFonts w:eastAsia="Times New Roman"/>
          <w:color w:val="000000"/>
        </w:rPr>
        <w:t>ofertas serán calificadas conforme el c</w:t>
      </w:r>
      <w:r w:rsidR="00407D27" w:rsidRPr="00A37DFB">
        <w:rPr>
          <w:rFonts w:eastAsia="Times New Roman"/>
          <w:color w:val="000000"/>
        </w:rPr>
        <w:t>riterio de la proporcionalidad.</w:t>
      </w:r>
    </w:p>
    <w:p w14:paraId="2FFF6D1B" w14:textId="1D67B2BF" w:rsidR="0016241B" w:rsidRPr="00A37DFB" w:rsidRDefault="00C15459" w:rsidP="00C03523">
      <w:pPr>
        <w:pStyle w:val="Prrafodelista"/>
        <w:numPr>
          <w:ilvl w:val="0"/>
          <w:numId w:val="20"/>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u w:val="single"/>
        </w:rPr>
        <w:t>ESPECIFICACIONES TECNICAS</w:t>
      </w:r>
      <w:r w:rsidR="00D651BD" w:rsidRPr="00A37DFB">
        <w:rPr>
          <w:rFonts w:eastAsia="Times New Roman"/>
          <w:b/>
          <w:color w:val="000000"/>
        </w:rPr>
        <w:t>:</w:t>
      </w:r>
      <w:r w:rsidR="00D651BD" w:rsidRPr="00A37DFB">
        <w:rPr>
          <w:rFonts w:eastAsia="Times New Roman"/>
          <w:color w:val="000000"/>
        </w:rPr>
        <w:t xml:space="preserve"> </w:t>
      </w:r>
    </w:p>
    <w:p w14:paraId="1F8613CB" w14:textId="4EBC0B2F" w:rsidR="00762ADA" w:rsidRPr="00A37DFB" w:rsidRDefault="00762ADA" w:rsidP="00C03523">
      <w:pPr>
        <w:pStyle w:val="Prrafodelista"/>
        <w:numPr>
          <w:ilvl w:val="0"/>
          <w:numId w:val="22"/>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rPr>
        <w:t>Resistencia de los materiales de construcción:</w:t>
      </w:r>
      <w:r w:rsidRPr="00A37DFB">
        <w:rPr>
          <w:rFonts w:eastAsia="Times New Roman"/>
          <w:color w:val="000000"/>
        </w:rPr>
        <w:t xml:space="preserve"> se le otorgará el mayor puntaje previsto a la oferta que exhiba la mejor resistencia de la cama. Esto estará definido en función del espesor de los caños utilizados para su construcción. Es decir, la oferta que presente mayor espesor en los caños, dentro de medidas razonables, medido en mm (milímetros), se llevará el máximo puntaje previsto. En el caso de haber pluralidad de ofertas con igual espesor de caños, se las puntuara a todas idénticamente. Las demás ofertas serán calificadas en función del criterio de proporcionalidad.</w:t>
      </w:r>
    </w:p>
    <w:p w14:paraId="5DA839D7" w14:textId="1645475C" w:rsidR="0076743E" w:rsidRPr="00A37DFB" w:rsidRDefault="0076743E" w:rsidP="00C03523">
      <w:pPr>
        <w:pStyle w:val="Prrafodelista"/>
        <w:numPr>
          <w:ilvl w:val="0"/>
          <w:numId w:val="22"/>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rPr>
        <w:t>Potencia de los motores:</w:t>
      </w:r>
      <w:r w:rsidR="00C36B3B" w:rsidRPr="00A37DFB">
        <w:rPr>
          <w:rFonts w:eastAsia="Times New Roman"/>
          <w:b/>
          <w:color w:val="000000"/>
        </w:rPr>
        <w:t xml:space="preserve"> </w:t>
      </w:r>
      <w:r w:rsidR="00C36B3B" w:rsidRPr="00A37DFB">
        <w:rPr>
          <w:rFonts w:eastAsia="Times New Roman"/>
          <w:color w:val="000000"/>
        </w:rPr>
        <w:t>se le otorgará el máximo puntaje previsto a la oferta que presente motores con la mayor potencia, medida en N (newton). Las demás ofertas serán calificadas en función del criterio de la proporcionalidad.</w:t>
      </w:r>
    </w:p>
    <w:p w14:paraId="4071D3E5" w14:textId="22472C95" w:rsidR="00F131FB" w:rsidRPr="00A37DFB" w:rsidRDefault="00F131FB" w:rsidP="00C03523">
      <w:pPr>
        <w:pStyle w:val="Prrafodelista"/>
        <w:numPr>
          <w:ilvl w:val="0"/>
          <w:numId w:val="22"/>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rPr>
        <w:t>Capacidad de carga dinámica:</w:t>
      </w:r>
      <w:r w:rsidR="00130371" w:rsidRPr="00A37DFB">
        <w:rPr>
          <w:rFonts w:eastAsia="Times New Roman"/>
          <w:b/>
          <w:color w:val="000000"/>
        </w:rPr>
        <w:t xml:space="preserve"> </w:t>
      </w:r>
      <w:r w:rsidR="00130371" w:rsidRPr="00A37DFB">
        <w:rPr>
          <w:rFonts w:eastAsia="Times New Roman"/>
          <w:color w:val="000000"/>
        </w:rPr>
        <w:t>se le otorgará el máximo puntaje previsto a la oferta que presente el bien con la mayor capacidad de carga en movimiento, medida en kg, a partir del mínimo requerido en el presente pliego. En el caso de haber pluralidad de ofertas con igual capacidad de carga, se las calificará a todas idénticamente. Las demás ofertas serán calificadas en función del criterio de la proporcionalidad.</w:t>
      </w:r>
    </w:p>
    <w:p w14:paraId="63C342CF" w14:textId="4EB42D52" w:rsidR="00F131FB" w:rsidRPr="00A37DFB" w:rsidRDefault="00F131FB" w:rsidP="00C03523">
      <w:pPr>
        <w:pStyle w:val="Prrafodelista"/>
        <w:numPr>
          <w:ilvl w:val="0"/>
          <w:numId w:val="22"/>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rPr>
        <w:t>Capacidad de carga estática:</w:t>
      </w:r>
      <w:r w:rsidR="00130371" w:rsidRPr="00A37DFB">
        <w:rPr>
          <w:rFonts w:eastAsia="Times New Roman"/>
          <w:b/>
          <w:color w:val="000000"/>
        </w:rPr>
        <w:t xml:space="preserve"> </w:t>
      </w:r>
      <w:r w:rsidR="00130371" w:rsidRPr="00A37DFB">
        <w:rPr>
          <w:rFonts w:eastAsia="Times New Roman"/>
          <w:color w:val="000000"/>
        </w:rPr>
        <w:t xml:space="preserve">se le otorgará el máximo puntaje previsto a la oferta que presente el bien con la mayor capacidad de carga estática, medida en kg, a partir del </w:t>
      </w:r>
      <w:r w:rsidR="00130371" w:rsidRPr="00A37DFB">
        <w:rPr>
          <w:rFonts w:eastAsia="Times New Roman"/>
          <w:color w:val="000000"/>
        </w:rPr>
        <w:lastRenderedPageBreak/>
        <w:t>mínimo requerido en el presente pliego. En el caso de haber pluralidad de ofertas con igual capacidad de carga, se las calificará a todas idénticamente. Las demás ofertas serán calificadas en función del criterio de la proporcionalidad.</w:t>
      </w:r>
    </w:p>
    <w:p w14:paraId="5E2F001D" w14:textId="7ACF58C1" w:rsidR="00762ADA" w:rsidRPr="00A37DFB" w:rsidRDefault="00C03523" w:rsidP="00762ADA">
      <w:pPr>
        <w:pStyle w:val="Prrafodelista"/>
        <w:numPr>
          <w:ilvl w:val="0"/>
          <w:numId w:val="22"/>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rPr>
        <w:t xml:space="preserve">Densidad del colchón: </w:t>
      </w:r>
      <w:r w:rsidRPr="00A37DFB">
        <w:rPr>
          <w:rFonts w:eastAsia="Times New Roman"/>
          <w:color w:val="000000"/>
        </w:rPr>
        <w:t>se le otorgará el máximo puntaje a la oferta que presente junto con el equipo un colchón indeformable que tenga la máxima densidad, dentro de valores razonables, a partir del mínimo establecido en el presente Pliego. Las demás ofertas serán calificadas en función del criterio de proporcionalidad.</w:t>
      </w:r>
    </w:p>
    <w:p w14:paraId="7F8CD720" w14:textId="14E5569B" w:rsidR="00C36B3B" w:rsidRPr="00A37DFB" w:rsidRDefault="00C36B3B" w:rsidP="00762ADA">
      <w:pPr>
        <w:pStyle w:val="Prrafodelista"/>
        <w:numPr>
          <w:ilvl w:val="0"/>
          <w:numId w:val="22"/>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rPr>
        <w:t>Tamaño de la cama eléctrica:</w:t>
      </w:r>
      <w:r w:rsidRPr="00A37DFB">
        <w:rPr>
          <w:rFonts w:eastAsia="Times New Roman"/>
          <w:color w:val="000000"/>
        </w:rPr>
        <w:t xml:space="preserve"> se le otorgará el máximo puntaje a la oferta que presente la cama eléctrica más grande, en función del ancho de la cama, medida en cm, dentro de valores razonables. Las demás ofertas serán calificadas en función del criterio de la proporcionalidad.</w:t>
      </w:r>
    </w:p>
    <w:p w14:paraId="7B9FA1DF" w14:textId="5BC15FFD" w:rsidR="00C36B3B" w:rsidRPr="00A37DFB" w:rsidRDefault="00C36B3B" w:rsidP="00C36B3B">
      <w:pPr>
        <w:pStyle w:val="Prrafodelista"/>
        <w:numPr>
          <w:ilvl w:val="0"/>
          <w:numId w:val="22"/>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rPr>
        <w:t xml:space="preserve">Funcionalidad del mando de control: </w:t>
      </w:r>
      <w:r w:rsidRPr="00A37DFB">
        <w:rPr>
          <w:rFonts w:eastAsia="Times New Roman"/>
          <w:color w:val="000000"/>
        </w:rPr>
        <w:t>se le otorgará el máximo puntaje a la oferta que exhiba el mejor mando de control. Esto se medirá en función de la capacidad que tiene el mando de control de: almacenar rutinas de movimiento, indicar la posición actual, controlar los movimientos de la cama, programar rutinas. Es decir, a mayor cumplimiento de esas características, mayor puntaje se le otorgará. En caso de haber pluralidad de ofertas con igual cantidad de funciones, se las calificará idénticamente a todas. Las demás ofertas serán calificadas en función del criterio de la proporcionalidad.</w:t>
      </w:r>
    </w:p>
    <w:p w14:paraId="248C55D0" w14:textId="611C5B0A" w:rsidR="00F112C2" w:rsidRPr="00A37DFB" w:rsidRDefault="00F112C2" w:rsidP="00C36B3B">
      <w:pPr>
        <w:pStyle w:val="Prrafodelista"/>
        <w:numPr>
          <w:ilvl w:val="0"/>
          <w:numId w:val="22"/>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rPr>
        <w:t xml:space="preserve">Batería de respaldo: </w:t>
      </w:r>
      <w:r w:rsidRPr="00A37DFB">
        <w:rPr>
          <w:rFonts w:eastAsia="Times New Roman"/>
          <w:color w:val="000000"/>
        </w:rPr>
        <w:t>se le otorgará el máximo puntaje previsto a las ofertas que presenten junto con el equipo una batería de respaldo. Las ofertas que no cumplan este requisito, carecerán de este puntaje.</w:t>
      </w:r>
    </w:p>
    <w:p w14:paraId="288DA087" w14:textId="7FB82051" w:rsidR="00EA1E9E" w:rsidRPr="00A37DFB" w:rsidRDefault="00D651BD" w:rsidP="00C03523">
      <w:pPr>
        <w:pStyle w:val="Prrafodelista"/>
        <w:numPr>
          <w:ilvl w:val="0"/>
          <w:numId w:val="20"/>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u w:val="single"/>
        </w:rPr>
        <w:t>PLAZO DE ENTREGA</w:t>
      </w:r>
      <w:r w:rsidRPr="00A37DFB">
        <w:rPr>
          <w:rFonts w:eastAsia="Times New Roman"/>
          <w:color w:val="000000"/>
        </w:rPr>
        <w:t>: Teniendo en cuenta el plazo de cumplimiento estipulado por el Pliego de Condiciones Particulares respecto de la obligación principal inherente al objeto de la contratación (la entrega de los bienes), se calificará co</w:t>
      </w:r>
      <w:r w:rsidR="00B847B8" w:rsidRPr="00A37DFB">
        <w:rPr>
          <w:rFonts w:eastAsia="Times New Roman"/>
          <w:color w:val="000000"/>
        </w:rPr>
        <w:t xml:space="preserve">n el máximo </w:t>
      </w:r>
      <w:r w:rsidR="00B847B8" w:rsidRPr="00A37DFB">
        <w:rPr>
          <w:rFonts w:eastAsia="Times New Roman"/>
          <w:color w:val="000000"/>
        </w:rPr>
        <w:lastRenderedPageBreak/>
        <w:t>puntaje previsto (5</w:t>
      </w:r>
      <w:r w:rsidRPr="00A37DFB">
        <w:rPr>
          <w:rFonts w:eastAsia="Times New Roman"/>
          <w:color w:val="000000"/>
        </w:rPr>
        <w:t xml:space="preserve"> puntos) a la oferta que proponga dicho cumplimiento en el menor plazo cierto determinado por el oferente (oferta superadora). Las demás ofertas serán calificadas conforme el criterio de la proporcionalidad</w:t>
      </w:r>
      <w:r w:rsidR="00407D27" w:rsidRPr="00A37DFB">
        <w:rPr>
          <w:rFonts w:eastAsia="Times New Roman"/>
          <w:color w:val="000000"/>
        </w:rPr>
        <w:t>.</w:t>
      </w:r>
    </w:p>
    <w:p w14:paraId="0E162F3B" w14:textId="20DC1321" w:rsidR="00AC48FA" w:rsidRPr="00A37DFB" w:rsidRDefault="00AC48FA" w:rsidP="00FE09B7">
      <w:pPr>
        <w:pStyle w:val="Normal1"/>
        <w:pBdr>
          <w:top w:val="nil"/>
          <w:left w:val="nil"/>
          <w:bottom w:val="nil"/>
          <w:right w:val="nil"/>
          <w:between w:val="nil"/>
        </w:pBdr>
        <w:tabs>
          <w:tab w:val="left" w:pos="851"/>
        </w:tabs>
        <w:spacing w:line="360" w:lineRule="auto"/>
        <w:jc w:val="both"/>
        <w:rPr>
          <w:rFonts w:ascii="Arial" w:eastAsiaTheme="minorHAnsi" w:hAnsi="Arial" w:cs="Arial"/>
          <w:b/>
          <w:u w:val="single"/>
          <w:lang w:eastAsia="en-US"/>
        </w:rPr>
      </w:pPr>
      <w:r w:rsidRPr="00A37DFB">
        <w:rPr>
          <w:rFonts w:ascii="Arial" w:hAnsi="Arial" w:cs="Arial"/>
          <w:b/>
          <w:color w:val="000000"/>
        </w:rPr>
        <w:t xml:space="preserve">ATENCION: </w:t>
      </w:r>
      <w:r w:rsidR="00FE09B7" w:rsidRPr="00A37DFB">
        <w:rPr>
          <w:rFonts w:ascii="Arial" w:eastAsiaTheme="minorHAnsi" w:hAnsi="Arial" w:cs="Arial"/>
          <w:b/>
          <w:lang w:eastAsia="en-US"/>
        </w:rPr>
        <w:t>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66193FF7" w14:textId="77777777" w:rsidR="00FE09B7" w:rsidRPr="00A37DFB" w:rsidRDefault="00D651BD" w:rsidP="00FE09B7">
      <w:pPr>
        <w:pStyle w:val="Prrafodelista"/>
        <w:numPr>
          <w:ilvl w:val="0"/>
          <w:numId w:val="20"/>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u w:val="single"/>
        </w:rPr>
        <w:t>ACREDITACION ODS s/LEY 9193</w:t>
      </w:r>
      <w:r w:rsidRPr="00A37DFB">
        <w:rPr>
          <w:rFonts w:eastAsia="Times New Roman"/>
          <w:color w:val="000000"/>
        </w:rPr>
        <w:t xml:space="preserve">: </w:t>
      </w:r>
      <w:r w:rsidR="00C548F2" w:rsidRPr="00A37DFB">
        <w:rPr>
          <w:rFonts w:eastAsia="Times New Roman"/>
          <w:color w:val="000000"/>
        </w:rPr>
        <w:t xml:space="preserve">Para la presente licitación, se considera relevante la evaluación del desempeño empresario de los oferentes, a la luz de las metas de los Objetivos de Desarrollo Sostenible del Pacto Global de las Naciones Unidas (ver  </w:t>
      </w:r>
      <w:hyperlink r:id="rId6" w:history="1">
        <w:r w:rsidR="00C548F2" w:rsidRPr="00A37DFB">
          <w:rPr>
            <w:rFonts w:eastAsia="Times New Roman"/>
            <w:color w:val="0000FF"/>
            <w:u w:val="single"/>
          </w:rPr>
          <w:t>https://www.un.org/sustainabledevelopment/es/objetivos-de-desarrollo-sostenible/</w:t>
        </w:r>
      </w:hyperlink>
      <w:r w:rsidR="00C548F2" w:rsidRPr="00A37DFB">
        <w:rPr>
          <w:rFonts w:eastAsia="Times New Roman"/>
          <w:color w:val="000000"/>
        </w:rPr>
        <w:t>).</w:t>
      </w:r>
    </w:p>
    <w:p w14:paraId="46990E1C" w14:textId="40BE7848" w:rsidR="00C548F2" w:rsidRPr="00A37DFB" w:rsidRDefault="00C548F2" w:rsidP="00FE09B7">
      <w:pPr>
        <w:pStyle w:val="Prrafodelista"/>
        <w:pBdr>
          <w:top w:val="nil"/>
          <w:left w:val="nil"/>
          <w:bottom w:val="nil"/>
          <w:right w:val="nil"/>
          <w:between w:val="nil"/>
        </w:pBdr>
        <w:spacing w:after="0" w:line="360" w:lineRule="auto"/>
        <w:ind w:left="1440"/>
        <w:jc w:val="both"/>
        <w:rPr>
          <w:rFonts w:eastAsia="Times New Roman"/>
          <w:color w:val="000000"/>
        </w:rPr>
      </w:pPr>
      <w:r w:rsidRPr="00A37DFB">
        <w:rPr>
          <w:rFonts w:eastAsia="Times New Roman"/>
          <w:color w:val="000000"/>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7" w:history="1">
        <w:r w:rsidRPr="00A37DFB">
          <w:rPr>
            <w:rFonts w:eastAsia="Times New Roman"/>
            <w:color w:val="0000FF"/>
            <w:u w:val="single"/>
          </w:rPr>
          <w:t>https://www.mendoza.gov.ar/compras/compras-publicas-sustentables/</w:t>
        </w:r>
      </w:hyperlink>
      <w:r w:rsidRPr="00A37DFB">
        <w:rPr>
          <w:rFonts w:eastAsia="Times New Roman"/>
          <w:color w:val="000000"/>
        </w:rPr>
        <w:t xml:space="preserve">). A este efecto, se informan los siguientes ponderadores de calificación del desempeño empresario sustentable, adoptados por la Guía Elemental del Programa de Compras Sustentables de la Administración Provincial (ver: </w:t>
      </w:r>
      <w:hyperlink r:id="rId8" w:history="1">
        <w:r w:rsidRPr="00A37DFB">
          <w:rPr>
            <w:rFonts w:eastAsia="Times New Roman"/>
            <w:color w:val="0000FF"/>
            <w:u w:val="single"/>
          </w:rPr>
          <w:t>https://www.mendoza.gov.ar/compras/compras-publicas-sustentables/</w:t>
        </w:r>
      </w:hyperlink>
      <w:r w:rsidRPr="00A37DFB">
        <w:rPr>
          <w:rFonts w:eastAsia="Times New Roman"/>
          <w:color w:val="000000"/>
        </w:rPr>
        <w:t>): </w:t>
      </w:r>
    </w:p>
    <w:p w14:paraId="2753BBFB" w14:textId="6EDDE289" w:rsidR="00C03523" w:rsidRPr="00A37DFB" w:rsidRDefault="008F27C1" w:rsidP="00C03523">
      <w:pPr>
        <w:pStyle w:val="Prrafodelista"/>
        <w:numPr>
          <w:ilvl w:val="0"/>
          <w:numId w:val="20"/>
        </w:numPr>
        <w:pBdr>
          <w:top w:val="nil"/>
          <w:left w:val="nil"/>
          <w:bottom w:val="nil"/>
          <w:right w:val="nil"/>
          <w:between w:val="nil"/>
        </w:pBdr>
        <w:spacing w:after="0" w:line="360" w:lineRule="auto"/>
        <w:jc w:val="both"/>
        <w:rPr>
          <w:rFonts w:eastAsia="Times New Roman"/>
          <w:color w:val="000000"/>
        </w:rPr>
      </w:pPr>
      <w:r w:rsidRPr="00A37DFB">
        <w:rPr>
          <w:rFonts w:eastAsia="Times New Roman"/>
          <w:b/>
          <w:color w:val="000000"/>
          <w:u w:val="single"/>
        </w:rPr>
        <w:t>OFERTA ECONÓMICA - PRECIO</w:t>
      </w:r>
      <w:r w:rsidRPr="00A37DFB">
        <w:rPr>
          <w:rFonts w:eastAsia="Times New Roman"/>
          <w:color w:val="000000"/>
        </w:rPr>
        <w:t>: Se puntuará con el puntaje máximo</w:t>
      </w:r>
      <w:r w:rsidR="00FE09B7" w:rsidRPr="00A37DFB">
        <w:rPr>
          <w:rFonts w:eastAsia="Times New Roman"/>
          <w:color w:val="000000"/>
        </w:rPr>
        <w:t xml:space="preserve"> (35</w:t>
      </w:r>
      <w:r w:rsidR="00D66F20" w:rsidRPr="00A37DFB">
        <w:rPr>
          <w:rFonts w:eastAsia="Times New Roman"/>
          <w:color w:val="000000"/>
        </w:rPr>
        <w:t xml:space="preserve"> </w:t>
      </w:r>
      <w:r w:rsidRPr="00A37DFB">
        <w:rPr>
          <w:rFonts w:eastAsia="Times New Roman"/>
          <w:color w:val="000000"/>
        </w:rPr>
        <w:t xml:space="preserve">puntos) a la oferta que, siendo formal y técnicamente </w:t>
      </w:r>
      <w:r w:rsidRPr="00A37DFB">
        <w:rPr>
          <w:rFonts w:eastAsia="Times New Roman"/>
          <w:color w:val="000000"/>
        </w:rPr>
        <w:lastRenderedPageBreak/>
        <w:t>admisible, resulte ser la de menor precio en el respectivo renglón. En caso de presentación de oferta alternativa, la misma será considerada a los efectos de esta evaluación. Las demás ofertas serán puntuadas segú</w:t>
      </w:r>
      <w:r w:rsidR="00941A8F" w:rsidRPr="00A37DFB">
        <w:rPr>
          <w:rFonts w:eastAsia="Times New Roman"/>
          <w:color w:val="000000"/>
        </w:rPr>
        <w:t>n la regla de proporcionalidad.</w:t>
      </w:r>
    </w:p>
    <w:p w14:paraId="38E80ED1" w14:textId="77777777" w:rsidR="00DB1FD4" w:rsidRPr="00A37DFB" w:rsidRDefault="00DB1FD4" w:rsidP="00FE09B7">
      <w:pPr>
        <w:spacing w:line="360" w:lineRule="auto"/>
        <w:jc w:val="both"/>
      </w:pPr>
    </w:p>
    <w:p w14:paraId="398D3ED8" w14:textId="77777777" w:rsidR="00DB1FD4" w:rsidRPr="00A37DFB" w:rsidRDefault="00DB1FD4" w:rsidP="00D66F20">
      <w:pPr>
        <w:spacing w:line="360" w:lineRule="auto"/>
        <w:ind w:left="360"/>
        <w:jc w:val="both"/>
      </w:pPr>
    </w:p>
    <w:sectPr w:rsidR="00DB1FD4" w:rsidRPr="00A37DFB" w:rsidSect="0004096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BC"/>
    <w:multiLevelType w:val="hybridMultilevel"/>
    <w:tmpl w:val="FF5632B2"/>
    <w:lvl w:ilvl="0" w:tplc="3472422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C868DF"/>
    <w:multiLevelType w:val="hybridMultilevel"/>
    <w:tmpl w:val="EC46F44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FB78D5"/>
    <w:multiLevelType w:val="hybridMultilevel"/>
    <w:tmpl w:val="E96C6F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84623EF"/>
    <w:multiLevelType w:val="hybridMultilevel"/>
    <w:tmpl w:val="8AE8766A"/>
    <w:lvl w:ilvl="0" w:tplc="D00852C0">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0747359"/>
    <w:multiLevelType w:val="hybridMultilevel"/>
    <w:tmpl w:val="BFDCF59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14F8297A"/>
    <w:multiLevelType w:val="hybridMultilevel"/>
    <w:tmpl w:val="CE088C2E"/>
    <w:lvl w:ilvl="0" w:tplc="64E8B01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BDD14FB"/>
    <w:multiLevelType w:val="hybridMultilevel"/>
    <w:tmpl w:val="926468F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20964D6F"/>
    <w:multiLevelType w:val="hybridMultilevel"/>
    <w:tmpl w:val="62B095F6"/>
    <w:lvl w:ilvl="0" w:tplc="80DA95D2">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8" w15:restartNumberingAfterBreak="0">
    <w:nsid w:val="26A36BDF"/>
    <w:multiLevelType w:val="hybridMultilevel"/>
    <w:tmpl w:val="23385C60"/>
    <w:lvl w:ilvl="0" w:tplc="519C4E4C">
      <w:start w:val="1"/>
      <w:numFmt w:val="lowerLetter"/>
      <w:lvlText w:val="%1."/>
      <w:lvlJc w:val="left"/>
      <w:pPr>
        <w:ind w:left="144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A326C27"/>
    <w:multiLevelType w:val="hybridMultilevel"/>
    <w:tmpl w:val="DD98901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2EE4234E"/>
    <w:multiLevelType w:val="multilevel"/>
    <w:tmpl w:val="403EF4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0A26744"/>
    <w:multiLevelType w:val="hybridMultilevel"/>
    <w:tmpl w:val="D33C4C8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53E4A39"/>
    <w:multiLevelType w:val="hybridMultilevel"/>
    <w:tmpl w:val="6CDCB34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3965240F"/>
    <w:multiLevelType w:val="hybridMultilevel"/>
    <w:tmpl w:val="0648375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152363F"/>
    <w:multiLevelType w:val="hybridMultilevel"/>
    <w:tmpl w:val="AC664730"/>
    <w:lvl w:ilvl="0" w:tplc="94449AFE">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456C0BE4"/>
    <w:multiLevelType w:val="hybridMultilevel"/>
    <w:tmpl w:val="EC2635CC"/>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685209C"/>
    <w:multiLevelType w:val="hybridMultilevel"/>
    <w:tmpl w:val="8E98C094"/>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15:restartNumberingAfterBreak="0">
    <w:nsid w:val="4CB7532E"/>
    <w:multiLevelType w:val="hybridMultilevel"/>
    <w:tmpl w:val="9246ED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E0E4323"/>
    <w:multiLevelType w:val="hybridMultilevel"/>
    <w:tmpl w:val="8C9A9300"/>
    <w:lvl w:ilvl="0" w:tplc="21261AD4">
      <w:start w:val="2"/>
      <w:numFmt w:val="decimal"/>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5EA270F"/>
    <w:multiLevelType w:val="hybridMultilevel"/>
    <w:tmpl w:val="51CC5F0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567F0581"/>
    <w:multiLevelType w:val="hybridMultilevel"/>
    <w:tmpl w:val="BA3C309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8E503AE"/>
    <w:multiLevelType w:val="multilevel"/>
    <w:tmpl w:val="D3FE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4D4E9C"/>
    <w:multiLevelType w:val="hybridMultilevel"/>
    <w:tmpl w:val="14E26F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647A779D"/>
    <w:multiLevelType w:val="hybridMultilevel"/>
    <w:tmpl w:val="A934B9E2"/>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4" w15:restartNumberingAfterBreak="0">
    <w:nsid w:val="64C4712B"/>
    <w:multiLevelType w:val="hybridMultilevel"/>
    <w:tmpl w:val="89BEDB8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5" w15:restartNumberingAfterBreak="0">
    <w:nsid w:val="66BC01CB"/>
    <w:multiLevelType w:val="hybridMultilevel"/>
    <w:tmpl w:val="E0DE47A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5CC732E"/>
    <w:multiLevelType w:val="hybridMultilevel"/>
    <w:tmpl w:val="04185FDA"/>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num w:numId="1">
    <w:abstractNumId w:val="21"/>
  </w:num>
  <w:num w:numId="2">
    <w:abstractNumId w:val="10"/>
  </w:num>
  <w:num w:numId="3">
    <w:abstractNumId w:val="15"/>
  </w:num>
  <w:num w:numId="4">
    <w:abstractNumId w:val="7"/>
  </w:num>
  <w:num w:numId="5">
    <w:abstractNumId w:val="0"/>
  </w:num>
  <w:num w:numId="6">
    <w:abstractNumId w:val="22"/>
  </w:num>
  <w:num w:numId="7">
    <w:abstractNumId w:val="2"/>
  </w:num>
  <w:num w:numId="8">
    <w:abstractNumId w:val="9"/>
  </w:num>
  <w:num w:numId="9">
    <w:abstractNumId w:val="17"/>
  </w:num>
  <w:num w:numId="10">
    <w:abstractNumId w:val="12"/>
  </w:num>
  <w:num w:numId="11">
    <w:abstractNumId w:val="20"/>
  </w:num>
  <w:num w:numId="12">
    <w:abstractNumId w:val="5"/>
  </w:num>
  <w:num w:numId="13">
    <w:abstractNumId w:val="14"/>
  </w:num>
  <w:num w:numId="14">
    <w:abstractNumId w:val="6"/>
  </w:num>
  <w:num w:numId="15">
    <w:abstractNumId w:val="4"/>
  </w:num>
  <w:num w:numId="16">
    <w:abstractNumId w:val="8"/>
  </w:num>
  <w:num w:numId="17">
    <w:abstractNumId w:val="1"/>
  </w:num>
  <w:num w:numId="18">
    <w:abstractNumId w:val="3"/>
  </w:num>
  <w:num w:numId="19">
    <w:abstractNumId w:val="13"/>
  </w:num>
  <w:num w:numId="20">
    <w:abstractNumId w:val="16"/>
  </w:num>
  <w:num w:numId="21">
    <w:abstractNumId w:val="26"/>
  </w:num>
  <w:num w:numId="22">
    <w:abstractNumId w:val="23"/>
  </w:num>
  <w:num w:numId="23">
    <w:abstractNumId w:val="24"/>
  </w:num>
  <w:num w:numId="24">
    <w:abstractNumId w:val="11"/>
  </w:num>
  <w:num w:numId="25">
    <w:abstractNumId w:val="2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D4"/>
    <w:rsid w:val="00040967"/>
    <w:rsid w:val="000571A9"/>
    <w:rsid w:val="00061F23"/>
    <w:rsid w:val="0006420A"/>
    <w:rsid w:val="00094DC7"/>
    <w:rsid w:val="000E010B"/>
    <w:rsid w:val="00130371"/>
    <w:rsid w:val="00140544"/>
    <w:rsid w:val="0016241B"/>
    <w:rsid w:val="001E1041"/>
    <w:rsid w:val="00201906"/>
    <w:rsid w:val="0029319C"/>
    <w:rsid w:val="003C1459"/>
    <w:rsid w:val="003F4540"/>
    <w:rsid w:val="00407D27"/>
    <w:rsid w:val="005926A5"/>
    <w:rsid w:val="005A5D66"/>
    <w:rsid w:val="006420D3"/>
    <w:rsid w:val="006A31BB"/>
    <w:rsid w:val="006B357D"/>
    <w:rsid w:val="0074404F"/>
    <w:rsid w:val="00762ADA"/>
    <w:rsid w:val="0076743E"/>
    <w:rsid w:val="00773C70"/>
    <w:rsid w:val="00780C71"/>
    <w:rsid w:val="007C69D5"/>
    <w:rsid w:val="008C5EC0"/>
    <w:rsid w:val="008F27C1"/>
    <w:rsid w:val="00931ED7"/>
    <w:rsid w:val="00941A8F"/>
    <w:rsid w:val="009A0015"/>
    <w:rsid w:val="009E52DE"/>
    <w:rsid w:val="00A10D8E"/>
    <w:rsid w:val="00A30AD8"/>
    <w:rsid w:val="00A37DFB"/>
    <w:rsid w:val="00A541F5"/>
    <w:rsid w:val="00A81C06"/>
    <w:rsid w:val="00AC196A"/>
    <w:rsid w:val="00AC48FA"/>
    <w:rsid w:val="00B5699C"/>
    <w:rsid w:val="00B847B8"/>
    <w:rsid w:val="00C03523"/>
    <w:rsid w:val="00C15459"/>
    <w:rsid w:val="00C36B3B"/>
    <w:rsid w:val="00C548F2"/>
    <w:rsid w:val="00C94AE5"/>
    <w:rsid w:val="00CB397E"/>
    <w:rsid w:val="00CC4C03"/>
    <w:rsid w:val="00CF0F84"/>
    <w:rsid w:val="00D33279"/>
    <w:rsid w:val="00D651BD"/>
    <w:rsid w:val="00D66F20"/>
    <w:rsid w:val="00D87C68"/>
    <w:rsid w:val="00DB1FD4"/>
    <w:rsid w:val="00DB3399"/>
    <w:rsid w:val="00DC417F"/>
    <w:rsid w:val="00E01106"/>
    <w:rsid w:val="00EA1E9E"/>
    <w:rsid w:val="00EA50D8"/>
    <w:rsid w:val="00EB1656"/>
    <w:rsid w:val="00EB30A9"/>
    <w:rsid w:val="00F112C2"/>
    <w:rsid w:val="00F131FB"/>
    <w:rsid w:val="00F72C50"/>
    <w:rsid w:val="00FA2857"/>
    <w:rsid w:val="00FD19D1"/>
    <w:rsid w:val="00FE09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7C5"/>
  <w15:docId w15:val="{5A19194A-CDE5-4E7A-A11F-DE422AE9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13"/>
    <w:rPr>
      <w:rFonts w:eastAsia="Calibri"/>
    </w:rPr>
  </w:style>
  <w:style w:type="paragraph" w:styleId="Ttulo1">
    <w:name w:val="heading 1"/>
    <w:basedOn w:val="Normal"/>
    <w:next w:val="Normal"/>
    <w:rsid w:val="00040967"/>
    <w:pPr>
      <w:keepNext/>
      <w:keepLines/>
      <w:spacing w:before="480" w:after="120"/>
      <w:outlineLvl w:val="0"/>
    </w:pPr>
    <w:rPr>
      <w:b/>
      <w:sz w:val="48"/>
      <w:szCs w:val="48"/>
    </w:rPr>
  </w:style>
  <w:style w:type="paragraph" w:styleId="Ttulo2">
    <w:name w:val="heading 2"/>
    <w:basedOn w:val="Normal"/>
    <w:next w:val="Normal"/>
    <w:rsid w:val="00040967"/>
    <w:pPr>
      <w:keepNext/>
      <w:keepLines/>
      <w:spacing w:before="360" w:after="80"/>
      <w:outlineLvl w:val="1"/>
    </w:pPr>
    <w:rPr>
      <w:b/>
      <w:sz w:val="36"/>
      <w:szCs w:val="36"/>
    </w:rPr>
  </w:style>
  <w:style w:type="paragraph" w:styleId="Ttulo3">
    <w:name w:val="heading 3"/>
    <w:basedOn w:val="Normal"/>
    <w:next w:val="Normal"/>
    <w:rsid w:val="00040967"/>
    <w:pPr>
      <w:keepNext/>
      <w:keepLines/>
      <w:spacing w:before="280" w:after="80"/>
      <w:outlineLvl w:val="2"/>
    </w:pPr>
    <w:rPr>
      <w:b/>
      <w:sz w:val="28"/>
      <w:szCs w:val="28"/>
    </w:rPr>
  </w:style>
  <w:style w:type="paragraph" w:styleId="Ttulo4">
    <w:name w:val="heading 4"/>
    <w:basedOn w:val="Normal"/>
    <w:next w:val="Normal"/>
    <w:rsid w:val="00040967"/>
    <w:pPr>
      <w:keepNext/>
      <w:keepLines/>
      <w:spacing w:before="240" w:after="40"/>
      <w:outlineLvl w:val="3"/>
    </w:pPr>
    <w:rPr>
      <w:b/>
    </w:rPr>
  </w:style>
  <w:style w:type="paragraph" w:styleId="Ttulo5">
    <w:name w:val="heading 5"/>
    <w:basedOn w:val="Normal"/>
    <w:next w:val="Normal"/>
    <w:rsid w:val="00040967"/>
    <w:pPr>
      <w:keepNext/>
      <w:keepLines/>
      <w:spacing w:before="220" w:after="40"/>
      <w:outlineLvl w:val="4"/>
    </w:pPr>
    <w:rPr>
      <w:b/>
      <w:sz w:val="22"/>
      <w:szCs w:val="22"/>
    </w:rPr>
  </w:style>
  <w:style w:type="paragraph" w:styleId="Ttulo6">
    <w:name w:val="heading 6"/>
    <w:basedOn w:val="Normal"/>
    <w:next w:val="Normal"/>
    <w:rsid w:val="000409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40967"/>
    <w:tblPr>
      <w:tblCellMar>
        <w:top w:w="0" w:type="dxa"/>
        <w:left w:w="0" w:type="dxa"/>
        <w:bottom w:w="0" w:type="dxa"/>
        <w:right w:w="0" w:type="dxa"/>
      </w:tblCellMar>
    </w:tblPr>
  </w:style>
  <w:style w:type="paragraph" w:styleId="Puesto">
    <w:name w:val="Title"/>
    <w:basedOn w:val="Normal"/>
    <w:next w:val="Normal"/>
    <w:rsid w:val="00040967"/>
    <w:pPr>
      <w:keepNext/>
      <w:keepLines/>
      <w:spacing w:before="480" w:after="120"/>
    </w:pPr>
    <w:rPr>
      <w:b/>
      <w:sz w:val="72"/>
      <w:szCs w:val="72"/>
    </w:rPr>
  </w:style>
  <w:style w:type="paragraph" w:styleId="Prrafodelista">
    <w:name w:val="List Paragraph"/>
    <w:basedOn w:val="Normal"/>
    <w:uiPriority w:val="34"/>
    <w:qFormat/>
    <w:rsid w:val="00A96C13"/>
    <w:pPr>
      <w:ind w:left="720"/>
      <w:contextualSpacing/>
    </w:pPr>
  </w:style>
  <w:style w:type="character" w:styleId="Hipervnculo">
    <w:name w:val="Hyperlink"/>
    <w:basedOn w:val="Fuentedeprrafopredeter"/>
    <w:uiPriority w:val="99"/>
    <w:unhideWhenUsed/>
    <w:rsid w:val="00AC1C23"/>
    <w:rPr>
      <w:color w:val="0563C1" w:themeColor="hyperlink"/>
      <w:u w:val="single"/>
    </w:rPr>
  </w:style>
  <w:style w:type="paragraph" w:styleId="Subttulo">
    <w:name w:val="Subtitle"/>
    <w:basedOn w:val="Normal"/>
    <w:next w:val="Normal"/>
    <w:rsid w:val="00040967"/>
    <w:pPr>
      <w:keepNext/>
      <w:keepLines/>
      <w:spacing w:before="360" w:after="80"/>
    </w:pPr>
    <w:rPr>
      <w:rFonts w:ascii="Georgia" w:eastAsia="Georgia" w:hAnsi="Georgia" w:cs="Georgia"/>
      <w:i/>
      <w:color w:val="666666"/>
      <w:sz w:val="48"/>
      <w:szCs w:val="48"/>
    </w:rPr>
  </w:style>
  <w:style w:type="table" w:customStyle="1" w:styleId="a">
    <w:basedOn w:val="TableNormal"/>
    <w:rsid w:val="00040967"/>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A30AD8"/>
    <w:rPr>
      <w:sz w:val="16"/>
      <w:szCs w:val="16"/>
    </w:rPr>
  </w:style>
  <w:style w:type="paragraph" w:styleId="Textocomentario">
    <w:name w:val="annotation text"/>
    <w:basedOn w:val="Normal"/>
    <w:link w:val="TextocomentarioCar"/>
    <w:uiPriority w:val="99"/>
    <w:unhideWhenUsed/>
    <w:rsid w:val="00A30AD8"/>
    <w:pPr>
      <w:spacing w:line="240" w:lineRule="auto"/>
    </w:pPr>
    <w:rPr>
      <w:sz w:val="20"/>
      <w:szCs w:val="20"/>
    </w:rPr>
  </w:style>
  <w:style w:type="character" w:customStyle="1" w:styleId="TextocomentarioCar">
    <w:name w:val="Texto comentario Car"/>
    <w:basedOn w:val="Fuentedeprrafopredeter"/>
    <w:link w:val="Textocomentario"/>
    <w:uiPriority w:val="99"/>
    <w:rsid w:val="00A30AD8"/>
    <w:rPr>
      <w:rFonts w:eastAsia="Calibri"/>
      <w:sz w:val="20"/>
      <w:szCs w:val="20"/>
    </w:rPr>
  </w:style>
  <w:style w:type="paragraph" w:styleId="Asuntodelcomentario">
    <w:name w:val="annotation subject"/>
    <w:basedOn w:val="Textocomentario"/>
    <w:next w:val="Textocomentario"/>
    <w:link w:val="AsuntodelcomentarioCar"/>
    <w:uiPriority w:val="99"/>
    <w:semiHidden/>
    <w:unhideWhenUsed/>
    <w:rsid w:val="00A30AD8"/>
    <w:rPr>
      <w:b/>
      <w:bCs/>
    </w:rPr>
  </w:style>
  <w:style w:type="character" w:customStyle="1" w:styleId="AsuntodelcomentarioCar">
    <w:name w:val="Asunto del comentario Car"/>
    <w:basedOn w:val="TextocomentarioCar"/>
    <w:link w:val="Asuntodelcomentario"/>
    <w:uiPriority w:val="99"/>
    <w:semiHidden/>
    <w:rsid w:val="00A30AD8"/>
    <w:rPr>
      <w:rFonts w:eastAsia="Calibri"/>
      <w:b/>
      <w:bCs/>
      <w:sz w:val="20"/>
      <w:szCs w:val="20"/>
    </w:rPr>
  </w:style>
  <w:style w:type="paragraph" w:styleId="Textodeglobo">
    <w:name w:val="Balloon Text"/>
    <w:basedOn w:val="Normal"/>
    <w:link w:val="TextodegloboCar"/>
    <w:uiPriority w:val="99"/>
    <w:semiHidden/>
    <w:unhideWhenUsed/>
    <w:rsid w:val="00A30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AD8"/>
    <w:rPr>
      <w:rFonts w:ascii="Tahoma" w:eastAsia="Calibri" w:hAnsi="Tahoma" w:cs="Tahoma"/>
      <w:sz w:val="16"/>
      <w:szCs w:val="16"/>
    </w:rPr>
  </w:style>
  <w:style w:type="paragraph" w:customStyle="1" w:styleId="Normal1">
    <w:name w:val="Normal1"/>
    <w:rsid w:val="00FE09B7"/>
    <w:pPr>
      <w:widowControl w:val="0"/>
      <w:spacing w:after="0" w:line="240" w:lineRule="auto"/>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e9DWKtpsELTIHZlNe7q060fkg==">CgMxLjAyCGguZ2pkZ3hzOAByITFuT0hRUXl2RC0tV2ZVS2JudlNKbHZqUGxlcW9XVzZxOA==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7725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Roberto Cabaña</cp:lastModifiedBy>
  <cp:revision>2</cp:revision>
  <dcterms:created xsi:type="dcterms:W3CDTF">2023-08-10T11:58:00Z</dcterms:created>
  <dcterms:modified xsi:type="dcterms:W3CDTF">2023-08-10T11:58:00Z</dcterms:modified>
</cp:coreProperties>
</file>