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A8D" w:rsidRPr="00024F13" w:rsidRDefault="00222A8D">
      <w:pPr>
        <w:rPr>
          <w:rFonts w:ascii="Arial" w:hAnsi="Arial" w:cs="Arial"/>
        </w:rPr>
      </w:pPr>
    </w:p>
    <w:p w:rsidR="00222A8D" w:rsidRPr="00024F13" w:rsidRDefault="00222A8D" w:rsidP="00222A8D">
      <w:pPr>
        <w:rPr>
          <w:rFonts w:ascii="Arial" w:hAnsi="Arial" w:cs="Arial"/>
        </w:rPr>
      </w:pPr>
    </w:p>
    <w:p w:rsidR="00222A8D" w:rsidRPr="00CB2684" w:rsidRDefault="00222A8D" w:rsidP="00882C29">
      <w:pPr>
        <w:spacing w:line="360" w:lineRule="auto"/>
        <w:jc w:val="center"/>
        <w:rPr>
          <w:rFonts w:ascii="Arial" w:hAnsi="Arial" w:cs="Arial"/>
          <w:b/>
          <w:sz w:val="24"/>
          <w:szCs w:val="24"/>
          <w:u w:val="single"/>
          <w:lang w:val="es-AR"/>
        </w:rPr>
      </w:pPr>
      <w:bookmarkStart w:id="0" w:name="_GoBack"/>
      <w:r w:rsidRPr="00CB2684">
        <w:rPr>
          <w:rFonts w:ascii="Arial" w:hAnsi="Arial" w:cs="Arial"/>
          <w:b/>
          <w:sz w:val="24"/>
          <w:szCs w:val="24"/>
          <w:u w:val="single"/>
          <w:lang w:val="es-AR"/>
        </w:rPr>
        <w:t>GRILLA MODELO PARA LA ADQUISIÓN DE ESTABILIZADORES DE TENSIÓN</w:t>
      </w:r>
    </w:p>
    <w:bookmarkEnd w:id="0"/>
    <w:p w:rsidR="00222A8D" w:rsidRPr="00024F13" w:rsidRDefault="00222A8D" w:rsidP="00882C29">
      <w:pPr>
        <w:spacing w:line="360" w:lineRule="auto"/>
        <w:jc w:val="both"/>
        <w:rPr>
          <w:rFonts w:ascii="Arial" w:hAnsi="Arial" w:cs="Arial"/>
          <w:sz w:val="24"/>
          <w:szCs w:val="24"/>
          <w:lang w:val="es-AR"/>
        </w:rPr>
      </w:pPr>
    </w:p>
    <w:tbl>
      <w:tblPr>
        <w:tblStyle w:val="Tablaconcuadrcula"/>
        <w:tblW w:w="0" w:type="auto"/>
        <w:tblInd w:w="1129" w:type="dxa"/>
        <w:tblLook w:val="04A0" w:firstRow="1" w:lastRow="0" w:firstColumn="1" w:lastColumn="0" w:noHBand="0" w:noVBand="1"/>
      </w:tblPr>
      <w:tblGrid>
        <w:gridCol w:w="5783"/>
        <w:gridCol w:w="1730"/>
      </w:tblGrid>
      <w:tr w:rsidR="00222A8D" w:rsidRPr="00024F13" w:rsidTr="00222A8D">
        <w:tc>
          <w:tcPr>
            <w:tcW w:w="5783" w:type="dxa"/>
            <w:vAlign w:val="center"/>
          </w:tcPr>
          <w:p w:rsidR="00222A8D" w:rsidRPr="00024F13" w:rsidRDefault="00222A8D" w:rsidP="00882C29">
            <w:pPr>
              <w:spacing w:line="360" w:lineRule="auto"/>
              <w:jc w:val="center"/>
              <w:rPr>
                <w:rFonts w:ascii="Arial" w:hAnsi="Arial" w:cs="Arial"/>
                <w:b/>
                <w:sz w:val="24"/>
                <w:szCs w:val="24"/>
                <w:lang w:val="es-AR"/>
              </w:rPr>
            </w:pPr>
            <w:r w:rsidRPr="00024F13">
              <w:rPr>
                <w:rFonts w:ascii="Arial" w:hAnsi="Arial" w:cs="Arial"/>
                <w:b/>
                <w:sz w:val="24"/>
                <w:szCs w:val="24"/>
                <w:lang w:val="es-AR"/>
              </w:rPr>
              <w:t>CRITERIO</w:t>
            </w:r>
          </w:p>
        </w:tc>
        <w:tc>
          <w:tcPr>
            <w:tcW w:w="1730" w:type="dxa"/>
            <w:vAlign w:val="center"/>
          </w:tcPr>
          <w:p w:rsidR="00222A8D" w:rsidRPr="00024F13" w:rsidRDefault="00222A8D" w:rsidP="00882C29">
            <w:pPr>
              <w:spacing w:line="360" w:lineRule="auto"/>
              <w:jc w:val="center"/>
              <w:rPr>
                <w:rFonts w:ascii="Arial" w:hAnsi="Arial" w:cs="Arial"/>
                <w:sz w:val="24"/>
                <w:szCs w:val="24"/>
                <w:lang w:val="es-AR"/>
              </w:rPr>
            </w:pPr>
            <w:r w:rsidRPr="00024F13">
              <w:rPr>
                <w:rFonts w:ascii="Arial" w:hAnsi="Arial" w:cs="Arial"/>
                <w:b/>
                <w:sz w:val="24"/>
                <w:szCs w:val="24"/>
                <w:lang w:val="es-AR"/>
              </w:rPr>
              <w:t>PUNTAJE</w:t>
            </w:r>
          </w:p>
        </w:tc>
      </w:tr>
      <w:tr w:rsidR="00222A8D" w:rsidRPr="00024F13" w:rsidTr="00222A8D">
        <w:tc>
          <w:tcPr>
            <w:tcW w:w="5783" w:type="dxa"/>
          </w:tcPr>
          <w:p w:rsidR="00222A8D" w:rsidRPr="00024F13" w:rsidRDefault="00222A8D" w:rsidP="00882C29">
            <w:pPr>
              <w:pStyle w:val="Prrafodelista"/>
              <w:numPr>
                <w:ilvl w:val="0"/>
                <w:numId w:val="4"/>
              </w:numPr>
              <w:spacing w:line="360" w:lineRule="auto"/>
              <w:jc w:val="both"/>
              <w:rPr>
                <w:rFonts w:ascii="Arial" w:hAnsi="Arial" w:cs="Arial"/>
                <w:sz w:val="24"/>
                <w:szCs w:val="24"/>
                <w:lang w:val="es-AR"/>
              </w:rPr>
            </w:pPr>
            <w:r w:rsidRPr="00024F13">
              <w:rPr>
                <w:rFonts w:ascii="Arial" w:hAnsi="Arial" w:cs="Arial"/>
                <w:b/>
                <w:sz w:val="24"/>
                <w:szCs w:val="24"/>
                <w:lang w:val="es-AR"/>
              </w:rPr>
              <w:t>ANTECEDENTES</w:t>
            </w:r>
          </w:p>
          <w:p w:rsidR="00222A8D" w:rsidRPr="00024F13" w:rsidRDefault="00222A8D" w:rsidP="00882C29">
            <w:pPr>
              <w:pStyle w:val="Prrafodelista"/>
              <w:numPr>
                <w:ilvl w:val="0"/>
                <w:numId w:val="5"/>
              </w:numPr>
              <w:spacing w:line="360" w:lineRule="auto"/>
              <w:jc w:val="both"/>
              <w:rPr>
                <w:rFonts w:ascii="Arial" w:hAnsi="Arial" w:cs="Arial"/>
                <w:sz w:val="24"/>
                <w:szCs w:val="24"/>
                <w:lang w:val="es-AR"/>
              </w:rPr>
            </w:pPr>
            <w:r w:rsidRPr="00024F13">
              <w:rPr>
                <w:rFonts w:ascii="Arial" w:hAnsi="Arial" w:cs="Arial"/>
                <w:sz w:val="24"/>
                <w:szCs w:val="24"/>
                <w:lang w:val="es-AR"/>
              </w:rPr>
              <w:t>Comerciales</w:t>
            </w:r>
            <w:r w:rsidR="004428DF" w:rsidRPr="00024F13">
              <w:rPr>
                <w:rFonts w:ascii="Arial" w:hAnsi="Arial" w:cs="Arial"/>
                <w:sz w:val="24"/>
                <w:szCs w:val="24"/>
                <w:lang w:val="es-AR"/>
              </w:rPr>
              <w:t xml:space="preserve"> (10)</w:t>
            </w:r>
          </w:p>
          <w:p w:rsidR="00222A8D" w:rsidRPr="00024F13" w:rsidRDefault="004428DF" w:rsidP="00882C29">
            <w:pPr>
              <w:pStyle w:val="Prrafodelista"/>
              <w:numPr>
                <w:ilvl w:val="0"/>
                <w:numId w:val="5"/>
              </w:numPr>
              <w:spacing w:line="360" w:lineRule="auto"/>
              <w:jc w:val="both"/>
              <w:rPr>
                <w:rFonts w:ascii="Arial" w:hAnsi="Arial" w:cs="Arial"/>
                <w:sz w:val="24"/>
                <w:szCs w:val="24"/>
                <w:lang w:val="es-AR"/>
              </w:rPr>
            </w:pPr>
            <w:r w:rsidRPr="00024F13">
              <w:rPr>
                <w:rFonts w:ascii="Arial" w:hAnsi="Arial" w:cs="Arial"/>
                <w:sz w:val="24"/>
                <w:szCs w:val="24"/>
                <w:lang w:val="es-AR"/>
              </w:rPr>
              <w:t>C</w:t>
            </w:r>
            <w:r w:rsidR="00222A8D" w:rsidRPr="00024F13">
              <w:rPr>
                <w:rFonts w:ascii="Arial" w:hAnsi="Arial" w:cs="Arial"/>
                <w:sz w:val="24"/>
                <w:szCs w:val="24"/>
                <w:lang w:val="es-AR"/>
              </w:rPr>
              <w:t>ontractuales</w:t>
            </w:r>
            <w:r w:rsidRPr="00024F13">
              <w:rPr>
                <w:rFonts w:ascii="Arial" w:hAnsi="Arial" w:cs="Arial"/>
                <w:sz w:val="24"/>
                <w:szCs w:val="24"/>
                <w:lang w:val="es-AR"/>
              </w:rPr>
              <w:t xml:space="preserve"> (5)</w:t>
            </w:r>
          </w:p>
        </w:tc>
        <w:tc>
          <w:tcPr>
            <w:tcW w:w="1730" w:type="dxa"/>
            <w:vAlign w:val="center"/>
          </w:tcPr>
          <w:p w:rsidR="00222A8D" w:rsidRPr="00024F13" w:rsidRDefault="004428DF" w:rsidP="00882C29">
            <w:pPr>
              <w:spacing w:line="360" w:lineRule="auto"/>
              <w:jc w:val="center"/>
              <w:rPr>
                <w:rFonts w:ascii="Arial" w:hAnsi="Arial" w:cs="Arial"/>
                <w:b/>
                <w:sz w:val="24"/>
                <w:szCs w:val="24"/>
                <w:lang w:val="es-AR"/>
              </w:rPr>
            </w:pPr>
            <w:r w:rsidRPr="00024F13">
              <w:rPr>
                <w:rFonts w:ascii="Arial" w:hAnsi="Arial" w:cs="Arial"/>
                <w:b/>
                <w:sz w:val="24"/>
                <w:szCs w:val="24"/>
                <w:lang w:val="es-AR"/>
              </w:rPr>
              <w:t>15</w:t>
            </w:r>
          </w:p>
        </w:tc>
      </w:tr>
      <w:tr w:rsidR="00222A8D" w:rsidRPr="00024F13" w:rsidTr="00222A8D">
        <w:tc>
          <w:tcPr>
            <w:tcW w:w="5783" w:type="dxa"/>
            <w:vAlign w:val="center"/>
          </w:tcPr>
          <w:p w:rsidR="00222A8D" w:rsidRPr="00024F13" w:rsidRDefault="00222A8D" w:rsidP="00882C29">
            <w:pPr>
              <w:pStyle w:val="Prrafodelista"/>
              <w:numPr>
                <w:ilvl w:val="0"/>
                <w:numId w:val="4"/>
              </w:numPr>
              <w:spacing w:line="360" w:lineRule="auto"/>
              <w:rPr>
                <w:rFonts w:ascii="Arial" w:hAnsi="Arial" w:cs="Arial"/>
                <w:sz w:val="24"/>
                <w:szCs w:val="24"/>
                <w:lang w:val="es-AR"/>
              </w:rPr>
            </w:pPr>
            <w:r w:rsidRPr="00024F13">
              <w:rPr>
                <w:rFonts w:ascii="Arial" w:hAnsi="Arial" w:cs="Arial"/>
                <w:b/>
                <w:sz w:val="24"/>
                <w:szCs w:val="24"/>
                <w:lang w:val="es-AR"/>
              </w:rPr>
              <w:t>INDICADORES DE CALIDAD DEL BIEN O SERVICIO</w:t>
            </w:r>
          </w:p>
          <w:p w:rsidR="00222A8D" w:rsidRPr="00024F13" w:rsidRDefault="00222A8D" w:rsidP="00882C29">
            <w:pPr>
              <w:pStyle w:val="Prrafodelista"/>
              <w:numPr>
                <w:ilvl w:val="0"/>
                <w:numId w:val="6"/>
              </w:numPr>
              <w:spacing w:line="360" w:lineRule="auto"/>
              <w:rPr>
                <w:rFonts w:ascii="Arial" w:hAnsi="Arial" w:cs="Arial"/>
                <w:sz w:val="24"/>
                <w:szCs w:val="24"/>
                <w:lang w:val="es-AR"/>
              </w:rPr>
            </w:pPr>
            <w:r w:rsidRPr="00024F13">
              <w:rPr>
                <w:rFonts w:ascii="Arial" w:hAnsi="Arial" w:cs="Arial"/>
                <w:sz w:val="24"/>
                <w:szCs w:val="24"/>
                <w:lang w:val="es-AR"/>
              </w:rPr>
              <w:t>Potencia</w:t>
            </w:r>
            <w:r w:rsidR="00BB1998" w:rsidRPr="00024F13">
              <w:rPr>
                <w:rFonts w:ascii="Arial" w:hAnsi="Arial" w:cs="Arial"/>
                <w:sz w:val="24"/>
                <w:szCs w:val="24"/>
                <w:lang w:val="es-AR"/>
              </w:rPr>
              <w:t xml:space="preserve"> (10)</w:t>
            </w:r>
            <w:r w:rsidRPr="00024F13">
              <w:rPr>
                <w:rFonts w:ascii="Arial" w:hAnsi="Arial" w:cs="Arial"/>
                <w:sz w:val="24"/>
                <w:szCs w:val="24"/>
                <w:lang w:val="es-AR"/>
              </w:rPr>
              <w:t xml:space="preserve">                                          </w:t>
            </w:r>
          </w:p>
          <w:p w:rsidR="00894D1B" w:rsidRPr="00024F13" w:rsidRDefault="00894D1B" w:rsidP="00882C29">
            <w:pPr>
              <w:pStyle w:val="Prrafodelista"/>
              <w:numPr>
                <w:ilvl w:val="0"/>
                <w:numId w:val="6"/>
              </w:numPr>
              <w:spacing w:line="360" w:lineRule="auto"/>
              <w:rPr>
                <w:rFonts w:ascii="Arial" w:hAnsi="Arial" w:cs="Arial"/>
                <w:sz w:val="24"/>
                <w:szCs w:val="24"/>
                <w:lang w:val="es-AR"/>
              </w:rPr>
            </w:pPr>
            <w:r w:rsidRPr="00024F13">
              <w:rPr>
                <w:rFonts w:ascii="Arial" w:hAnsi="Arial" w:cs="Arial"/>
                <w:sz w:val="24"/>
                <w:szCs w:val="24"/>
                <w:lang w:val="es-AR"/>
              </w:rPr>
              <w:t>Tiempo de reacción</w:t>
            </w:r>
            <w:r w:rsidR="00BB1998" w:rsidRPr="00024F13">
              <w:rPr>
                <w:rFonts w:ascii="Arial" w:hAnsi="Arial" w:cs="Arial"/>
                <w:sz w:val="24"/>
                <w:szCs w:val="24"/>
                <w:lang w:val="es-AR"/>
              </w:rPr>
              <w:t xml:space="preserve"> (10)</w:t>
            </w:r>
          </w:p>
          <w:p w:rsidR="00222A8D" w:rsidRPr="00024F13" w:rsidRDefault="00894D1B" w:rsidP="00882C29">
            <w:pPr>
              <w:pStyle w:val="Prrafodelista"/>
              <w:numPr>
                <w:ilvl w:val="0"/>
                <w:numId w:val="6"/>
              </w:numPr>
              <w:spacing w:line="360" w:lineRule="auto"/>
              <w:rPr>
                <w:rFonts w:ascii="Arial" w:hAnsi="Arial" w:cs="Arial"/>
                <w:sz w:val="24"/>
                <w:szCs w:val="24"/>
                <w:lang w:val="es-AR"/>
              </w:rPr>
            </w:pPr>
            <w:r w:rsidRPr="00024F13">
              <w:rPr>
                <w:rFonts w:ascii="Arial" w:hAnsi="Arial" w:cs="Arial"/>
                <w:sz w:val="24"/>
                <w:szCs w:val="24"/>
                <w:lang w:val="es-AR"/>
              </w:rPr>
              <w:t>Manual de uso</w:t>
            </w:r>
            <w:r w:rsidR="00BB1998" w:rsidRPr="00024F13">
              <w:rPr>
                <w:rFonts w:ascii="Arial" w:hAnsi="Arial" w:cs="Arial"/>
                <w:sz w:val="24"/>
                <w:szCs w:val="24"/>
                <w:lang w:val="es-AR"/>
              </w:rPr>
              <w:t xml:space="preserve"> (5)</w:t>
            </w:r>
            <w:r w:rsidR="00222A8D" w:rsidRPr="00024F13">
              <w:rPr>
                <w:rFonts w:ascii="Arial" w:hAnsi="Arial" w:cs="Arial"/>
                <w:sz w:val="24"/>
                <w:szCs w:val="24"/>
                <w:lang w:val="es-AR"/>
              </w:rPr>
              <w:t xml:space="preserve">                                        </w:t>
            </w:r>
          </w:p>
        </w:tc>
        <w:tc>
          <w:tcPr>
            <w:tcW w:w="1730" w:type="dxa"/>
            <w:vAlign w:val="center"/>
          </w:tcPr>
          <w:p w:rsidR="00222A8D" w:rsidRPr="00024F13" w:rsidRDefault="00BB1998" w:rsidP="00882C29">
            <w:pPr>
              <w:spacing w:line="360" w:lineRule="auto"/>
              <w:jc w:val="center"/>
              <w:rPr>
                <w:rFonts w:ascii="Arial" w:hAnsi="Arial" w:cs="Arial"/>
                <w:b/>
                <w:sz w:val="24"/>
                <w:szCs w:val="24"/>
                <w:lang w:val="es-AR"/>
              </w:rPr>
            </w:pPr>
            <w:r w:rsidRPr="00024F13">
              <w:rPr>
                <w:rFonts w:ascii="Arial" w:hAnsi="Arial" w:cs="Arial"/>
                <w:b/>
                <w:sz w:val="24"/>
                <w:szCs w:val="24"/>
                <w:lang w:val="es-AR"/>
              </w:rPr>
              <w:t>25</w:t>
            </w:r>
          </w:p>
        </w:tc>
      </w:tr>
      <w:tr w:rsidR="00222A8D" w:rsidRPr="00024F13" w:rsidTr="00222A8D">
        <w:tc>
          <w:tcPr>
            <w:tcW w:w="5783" w:type="dxa"/>
            <w:vAlign w:val="center"/>
          </w:tcPr>
          <w:p w:rsidR="00222A8D" w:rsidRPr="00024F13" w:rsidRDefault="00DD2971" w:rsidP="00DD2971">
            <w:pPr>
              <w:pStyle w:val="Prrafodelista"/>
              <w:numPr>
                <w:ilvl w:val="0"/>
                <w:numId w:val="4"/>
              </w:numPr>
              <w:spacing w:line="360" w:lineRule="auto"/>
              <w:rPr>
                <w:rFonts w:ascii="Arial" w:hAnsi="Arial" w:cs="Arial"/>
                <w:sz w:val="24"/>
                <w:szCs w:val="24"/>
                <w:lang w:val="es-AR"/>
              </w:rPr>
            </w:pPr>
            <w:r w:rsidRPr="00024F13">
              <w:rPr>
                <w:rFonts w:ascii="Arial" w:hAnsi="Arial" w:cs="Arial"/>
                <w:b/>
                <w:sz w:val="24"/>
                <w:szCs w:val="24"/>
                <w:lang w:val="es-AR"/>
              </w:rPr>
              <w:t>PLAZO DE ENTREGA</w:t>
            </w:r>
          </w:p>
        </w:tc>
        <w:tc>
          <w:tcPr>
            <w:tcW w:w="1730" w:type="dxa"/>
            <w:vAlign w:val="center"/>
          </w:tcPr>
          <w:p w:rsidR="00222A8D" w:rsidRPr="00024F13" w:rsidRDefault="004428DF" w:rsidP="00882C29">
            <w:pPr>
              <w:spacing w:line="360" w:lineRule="auto"/>
              <w:jc w:val="center"/>
              <w:rPr>
                <w:rFonts w:ascii="Arial" w:hAnsi="Arial" w:cs="Arial"/>
                <w:b/>
                <w:sz w:val="24"/>
                <w:szCs w:val="24"/>
                <w:lang w:val="es-AR"/>
              </w:rPr>
            </w:pPr>
            <w:r w:rsidRPr="00024F13">
              <w:rPr>
                <w:rFonts w:ascii="Arial" w:hAnsi="Arial" w:cs="Arial"/>
                <w:b/>
                <w:sz w:val="24"/>
                <w:szCs w:val="24"/>
                <w:lang w:val="es-AR"/>
              </w:rPr>
              <w:t>10</w:t>
            </w:r>
          </w:p>
        </w:tc>
      </w:tr>
      <w:tr w:rsidR="00882C29" w:rsidRPr="00024F13" w:rsidTr="00222A8D">
        <w:tc>
          <w:tcPr>
            <w:tcW w:w="5783" w:type="dxa"/>
            <w:vAlign w:val="center"/>
          </w:tcPr>
          <w:p w:rsidR="00882C29" w:rsidRPr="00024F13" w:rsidRDefault="00DD2971" w:rsidP="00DD2971">
            <w:pPr>
              <w:pStyle w:val="Prrafodelista"/>
              <w:numPr>
                <w:ilvl w:val="0"/>
                <w:numId w:val="4"/>
              </w:numPr>
              <w:spacing w:line="360" w:lineRule="auto"/>
              <w:rPr>
                <w:rFonts w:ascii="Arial" w:hAnsi="Arial" w:cs="Arial"/>
                <w:b/>
                <w:sz w:val="24"/>
                <w:szCs w:val="24"/>
                <w:lang w:val="es-AR"/>
              </w:rPr>
            </w:pPr>
            <w:r w:rsidRPr="00024F13">
              <w:rPr>
                <w:rFonts w:ascii="Arial" w:hAnsi="Arial" w:cs="Arial"/>
                <w:b/>
                <w:sz w:val="24"/>
                <w:szCs w:val="24"/>
                <w:lang w:val="es-AR"/>
              </w:rPr>
              <w:t>ACREDITACIÓN ODS S/LEY 9193</w:t>
            </w:r>
          </w:p>
        </w:tc>
        <w:tc>
          <w:tcPr>
            <w:tcW w:w="1730" w:type="dxa"/>
            <w:vAlign w:val="center"/>
          </w:tcPr>
          <w:p w:rsidR="00882C29" w:rsidRPr="00024F13" w:rsidRDefault="00DD2971" w:rsidP="00882C29">
            <w:pPr>
              <w:spacing w:line="360" w:lineRule="auto"/>
              <w:jc w:val="center"/>
              <w:rPr>
                <w:rFonts w:ascii="Arial" w:hAnsi="Arial" w:cs="Arial"/>
                <w:b/>
                <w:sz w:val="24"/>
                <w:szCs w:val="24"/>
                <w:lang w:val="es-AR"/>
              </w:rPr>
            </w:pPr>
            <w:r w:rsidRPr="00024F13">
              <w:rPr>
                <w:rFonts w:ascii="Arial" w:hAnsi="Arial" w:cs="Arial"/>
                <w:b/>
                <w:sz w:val="24"/>
                <w:szCs w:val="24"/>
                <w:lang w:val="es-AR"/>
              </w:rPr>
              <w:t>10</w:t>
            </w:r>
          </w:p>
        </w:tc>
      </w:tr>
      <w:tr w:rsidR="00222A8D" w:rsidRPr="00024F13" w:rsidTr="00222A8D">
        <w:tc>
          <w:tcPr>
            <w:tcW w:w="5783" w:type="dxa"/>
            <w:vAlign w:val="center"/>
          </w:tcPr>
          <w:p w:rsidR="00222A8D" w:rsidRPr="00024F13" w:rsidRDefault="00222A8D" w:rsidP="00882C29">
            <w:pPr>
              <w:pStyle w:val="Prrafodelista"/>
              <w:numPr>
                <w:ilvl w:val="0"/>
                <w:numId w:val="4"/>
              </w:numPr>
              <w:spacing w:line="360" w:lineRule="auto"/>
              <w:rPr>
                <w:rFonts w:ascii="Arial" w:hAnsi="Arial" w:cs="Arial"/>
                <w:b/>
                <w:sz w:val="24"/>
                <w:szCs w:val="24"/>
                <w:lang w:val="es-AR"/>
              </w:rPr>
            </w:pPr>
            <w:r w:rsidRPr="00024F13">
              <w:rPr>
                <w:rFonts w:ascii="Arial" w:hAnsi="Arial" w:cs="Arial"/>
                <w:b/>
                <w:sz w:val="24"/>
                <w:szCs w:val="24"/>
                <w:lang w:val="es-AR"/>
              </w:rPr>
              <w:t>OFERTA ECONÓMICA</w:t>
            </w:r>
          </w:p>
        </w:tc>
        <w:tc>
          <w:tcPr>
            <w:tcW w:w="1730" w:type="dxa"/>
            <w:vAlign w:val="center"/>
          </w:tcPr>
          <w:p w:rsidR="00222A8D" w:rsidRPr="00024F13" w:rsidRDefault="00222A8D" w:rsidP="00882C29">
            <w:pPr>
              <w:spacing w:line="360" w:lineRule="auto"/>
              <w:jc w:val="center"/>
              <w:rPr>
                <w:rFonts w:ascii="Arial" w:hAnsi="Arial" w:cs="Arial"/>
                <w:b/>
                <w:sz w:val="24"/>
                <w:szCs w:val="24"/>
                <w:lang w:val="es-AR"/>
              </w:rPr>
            </w:pPr>
            <w:r w:rsidRPr="00024F13">
              <w:rPr>
                <w:rFonts w:ascii="Arial" w:hAnsi="Arial" w:cs="Arial"/>
                <w:b/>
                <w:sz w:val="24"/>
                <w:szCs w:val="24"/>
                <w:lang w:val="es-AR"/>
              </w:rPr>
              <w:t>40</w:t>
            </w:r>
          </w:p>
        </w:tc>
      </w:tr>
      <w:tr w:rsidR="00222A8D" w:rsidRPr="00024F13" w:rsidTr="00222A8D">
        <w:tc>
          <w:tcPr>
            <w:tcW w:w="5783" w:type="dxa"/>
            <w:vAlign w:val="center"/>
          </w:tcPr>
          <w:p w:rsidR="00222A8D" w:rsidRPr="00024F13" w:rsidRDefault="00222A8D" w:rsidP="00882C29">
            <w:pPr>
              <w:spacing w:line="360" w:lineRule="auto"/>
              <w:rPr>
                <w:rFonts w:ascii="Arial" w:hAnsi="Arial" w:cs="Arial"/>
                <w:b/>
                <w:sz w:val="24"/>
                <w:szCs w:val="24"/>
                <w:lang w:val="es-AR"/>
              </w:rPr>
            </w:pPr>
            <w:r w:rsidRPr="00024F13">
              <w:rPr>
                <w:rFonts w:ascii="Arial" w:hAnsi="Arial" w:cs="Arial"/>
                <w:b/>
                <w:sz w:val="24"/>
                <w:szCs w:val="24"/>
                <w:lang w:val="es-AR"/>
              </w:rPr>
              <w:t>TOTAL</w:t>
            </w:r>
          </w:p>
        </w:tc>
        <w:tc>
          <w:tcPr>
            <w:tcW w:w="1730" w:type="dxa"/>
            <w:vAlign w:val="center"/>
          </w:tcPr>
          <w:p w:rsidR="00222A8D" w:rsidRPr="00024F13" w:rsidRDefault="00222A8D" w:rsidP="00882C29">
            <w:pPr>
              <w:spacing w:line="360" w:lineRule="auto"/>
              <w:jc w:val="center"/>
              <w:rPr>
                <w:rFonts w:ascii="Arial" w:hAnsi="Arial" w:cs="Arial"/>
                <w:b/>
                <w:sz w:val="24"/>
                <w:szCs w:val="24"/>
                <w:lang w:val="es-AR"/>
              </w:rPr>
            </w:pPr>
            <w:r w:rsidRPr="00024F13">
              <w:rPr>
                <w:rFonts w:ascii="Arial" w:hAnsi="Arial" w:cs="Arial"/>
                <w:b/>
                <w:sz w:val="24"/>
                <w:szCs w:val="24"/>
                <w:lang w:val="es-AR"/>
              </w:rPr>
              <w:t>100</w:t>
            </w:r>
          </w:p>
        </w:tc>
      </w:tr>
    </w:tbl>
    <w:p w:rsidR="00222A8D" w:rsidRPr="00024F13" w:rsidRDefault="00222A8D" w:rsidP="00882C29">
      <w:pPr>
        <w:spacing w:line="360" w:lineRule="auto"/>
        <w:jc w:val="both"/>
        <w:rPr>
          <w:rFonts w:ascii="Arial" w:hAnsi="Arial" w:cs="Arial"/>
          <w:sz w:val="24"/>
          <w:szCs w:val="24"/>
          <w:lang w:val="es-AR"/>
        </w:rPr>
      </w:pPr>
      <w:r w:rsidRPr="00024F13">
        <w:rPr>
          <w:rFonts w:ascii="Arial" w:hAnsi="Arial" w:cs="Arial"/>
          <w:sz w:val="24"/>
          <w:szCs w:val="24"/>
          <w:lang w:val="es-AR"/>
        </w:rPr>
        <w:t xml:space="preserve"> </w:t>
      </w:r>
    </w:p>
    <w:p w:rsidR="00222A8D" w:rsidRPr="00024F13" w:rsidRDefault="00882C29" w:rsidP="00491F65">
      <w:pPr>
        <w:pStyle w:val="Prrafodelista"/>
        <w:numPr>
          <w:ilvl w:val="0"/>
          <w:numId w:val="1"/>
        </w:numPr>
        <w:spacing w:line="360" w:lineRule="auto"/>
        <w:jc w:val="both"/>
        <w:rPr>
          <w:rFonts w:ascii="Arial" w:hAnsi="Arial" w:cs="Arial"/>
          <w:b/>
          <w:sz w:val="24"/>
          <w:szCs w:val="24"/>
          <w:u w:val="single"/>
          <w:lang w:val="es-AR"/>
        </w:rPr>
      </w:pPr>
      <w:r w:rsidRPr="00024F13">
        <w:rPr>
          <w:rFonts w:ascii="Arial" w:hAnsi="Arial" w:cs="Arial"/>
          <w:b/>
          <w:sz w:val="24"/>
          <w:szCs w:val="24"/>
          <w:u w:val="single"/>
          <w:lang w:val="es-AR"/>
        </w:rPr>
        <w:t xml:space="preserve">ANTECEDENTES </w:t>
      </w:r>
    </w:p>
    <w:p w:rsidR="00222A8D" w:rsidRPr="00024F13" w:rsidRDefault="00222A8D" w:rsidP="00882C29">
      <w:pPr>
        <w:pStyle w:val="Prrafodelista"/>
        <w:numPr>
          <w:ilvl w:val="0"/>
          <w:numId w:val="2"/>
        </w:numPr>
        <w:spacing w:line="360" w:lineRule="auto"/>
        <w:jc w:val="both"/>
        <w:rPr>
          <w:rFonts w:ascii="Arial" w:hAnsi="Arial" w:cs="Arial"/>
          <w:sz w:val="24"/>
          <w:szCs w:val="24"/>
          <w:lang w:val="es-AR"/>
        </w:rPr>
      </w:pPr>
      <w:r w:rsidRPr="00024F13">
        <w:rPr>
          <w:rFonts w:ascii="Arial" w:hAnsi="Arial" w:cs="Arial"/>
          <w:b/>
          <w:sz w:val="24"/>
          <w:szCs w:val="24"/>
          <w:lang w:val="es-AR"/>
        </w:rPr>
        <w:t>Comerciales:</w:t>
      </w:r>
      <w:r w:rsidRPr="00024F13">
        <w:rPr>
          <w:rFonts w:ascii="Arial" w:hAnsi="Arial" w:cs="Arial"/>
          <w:sz w:val="24"/>
          <w:szCs w:val="24"/>
          <w:lang w:val="es-AR"/>
        </w:rPr>
        <w:t xml:space="preserve"> Se otorgará el máximo puntaje (10 puntos) previsto a las/los oferentes que acrediten poseer el mayor número de certificados de comitentes o contratantes, a quienes se les haya provisto bienes o prestado de servicios de características similares a los requeridos por el objeto de la contrataci</w:t>
      </w:r>
      <w:r w:rsidR="00882C29" w:rsidRPr="00024F13">
        <w:rPr>
          <w:rFonts w:ascii="Arial" w:hAnsi="Arial" w:cs="Arial"/>
          <w:sz w:val="24"/>
          <w:szCs w:val="24"/>
          <w:lang w:val="es-AR"/>
        </w:rPr>
        <w:t>ón, durante el último año previo</w:t>
      </w:r>
      <w:r w:rsidRPr="00024F13">
        <w:rPr>
          <w:rFonts w:ascii="Arial" w:hAnsi="Arial" w:cs="Arial"/>
          <w:sz w:val="24"/>
          <w:szCs w:val="24"/>
          <w:lang w:val="es-AR"/>
        </w:rPr>
        <w:t xml:space="preserve"> a la fecha de la convocatoria. El orden de mérito para las demás ofertas, se determinará conforme la regla de proporcionalidad.</w:t>
      </w:r>
    </w:p>
    <w:p w:rsidR="00882C29" w:rsidRPr="00024F13" w:rsidRDefault="00882C29" w:rsidP="00882C29">
      <w:pPr>
        <w:spacing w:line="360" w:lineRule="auto"/>
        <w:jc w:val="both"/>
        <w:rPr>
          <w:rFonts w:ascii="Arial" w:eastAsia="Arial" w:hAnsi="Arial" w:cs="Arial"/>
          <w:b/>
          <w:sz w:val="24"/>
          <w:szCs w:val="24"/>
          <w:lang w:val="es-AR"/>
        </w:rPr>
      </w:pPr>
      <w:r w:rsidRPr="00024F13">
        <w:rPr>
          <w:rFonts w:ascii="Arial" w:eastAsia="Arial" w:hAnsi="Arial" w:cs="Arial"/>
          <w:b/>
          <w:sz w:val="24"/>
          <w:szCs w:val="24"/>
          <w:lang w:val="es-AR"/>
        </w:rPr>
        <w:t xml:space="preserve">IMPORTANTE: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al acto de recepción de ofertas. Incluso, cuando la documentación fuera acompañada con posterioridad a </w:t>
      </w:r>
      <w:r w:rsidRPr="00024F13">
        <w:rPr>
          <w:rFonts w:ascii="Arial" w:eastAsia="Arial" w:hAnsi="Arial" w:cs="Arial"/>
          <w:b/>
          <w:sz w:val="24"/>
          <w:szCs w:val="24"/>
          <w:lang w:val="es-AR"/>
        </w:rPr>
        <w:lastRenderedPageBreak/>
        <w:t>dicho acto, la misma deberá ser de fecha anterior; caso contrario, no será considerada y el indicador será calificado sin puntaje.</w:t>
      </w:r>
    </w:p>
    <w:p w:rsidR="00882C29" w:rsidRPr="00024F13" w:rsidRDefault="00882C29" w:rsidP="00882C29">
      <w:pPr>
        <w:pStyle w:val="Prrafodelista"/>
        <w:spacing w:line="360" w:lineRule="auto"/>
        <w:ind w:left="1440"/>
        <w:jc w:val="both"/>
        <w:rPr>
          <w:rFonts w:ascii="Arial" w:hAnsi="Arial" w:cs="Arial"/>
          <w:sz w:val="24"/>
          <w:szCs w:val="24"/>
          <w:lang w:val="es-AR"/>
        </w:rPr>
      </w:pPr>
    </w:p>
    <w:p w:rsidR="00882C29" w:rsidRPr="00024F13" w:rsidRDefault="00222A8D" w:rsidP="00491F65">
      <w:pPr>
        <w:pStyle w:val="Prrafodelista"/>
        <w:numPr>
          <w:ilvl w:val="0"/>
          <w:numId w:val="7"/>
        </w:numPr>
        <w:spacing w:after="200" w:line="360" w:lineRule="auto"/>
        <w:jc w:val="both"/>
        <w:rPr>
          <w:rFonts w:ascii="Arial" w:eastAsia="Arial" w:hAnsi="Arial" w:cs="Arial"/>
          <w:sz w:val="24"/>
          <w:szCs w:val="24"/>
          <w:lang w:val="es-AR"/>
        </w:rPr>
      </w:pPr>
      <w:r w:rsidRPr="00024F13">
        <w:rPr>
          <w:rFonts w:ascii="Arial" w:hAnsi="Arial" w:cs="Arial"/>
          <w:b/>
          <w:sz w:val="24"/>
          <w:szCs w:val="24"/>
          <w:lang w:val="es-AR"/>
        </w:rPr>
        <w:t>Contractuales:</w:t>
      </w:r>
      <w:r w:rsidRPr="00024F13">
        <w:rPr>
          <w:rFonts w:ascii="Arial" w:hAnsi="Arial" w:cs="Arial"/>
          <w:sz w:val="24"/>
          <w:szCs w:val="24"/>
          <w:lang w:val="es-AR"/>
        </w:rPr>
        <w:t xml:space="preserve"> </w:t>
      </w:r>
      <w:r w:rsidR="00882C29" w:rsidRPr="00024F13">
        <w:rPr>
          <w:rFonts w:ascii="Arial" w:eastAsia="Arial" w:hAnsi="Arial" w:cs="Arial"/>
          <w:sz w:val="24"/>
          <w:szCs w:val="24"/>
          <w:lang w:val="es-AR"/>
        </w:rPr>
        <w:t xml:space="preserve">Se calificará con el máximo puntaje previsto (5 puntos) a los oferentes que no posean antecedentes en el Registro Único de Proveedores de Mendoza, de penalidades o sanciones aplicadas dentro del año calendario anterior a la fecha de apertura de ofertas. En caso de oferentes que no posean en el Registro Único de Proveedores una inscripción vigente en dicho período, también serán calificados con el máximo puntaje (5 puntos), salvo que posean sanciones impuestas en el mismo plazo por organismos y/o registros de proveedores de otras jurisdicciones (Nacional, Provincial, Municipal). Se calificará con 3 puntos a los oferentes que posean sanciones de apercibimiento dentro del año calendario anterior a la fecha de apertura de ofertas, inscriptas en el Registro Único de Proveedores de Mendoza u otros de otra jurisdicción Nacional, Provincial o Municipal. Se calificará también con 3 puntos a los oferentes que, no registrando sanciones mediante procedimientos formales, tuvieren antecedentes documentados de prestación “no satisfactoria” del servicio. 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 </w:t>
      </w:r>
    </w:p>
    <w:p w:rsidR="00222A8D" w:rsidRPr="00024F13" w:rsidRDefault="00882C29" w:rsidP="00882C29">
      <w:pPr>
        <w:spacing w:line="360" w:lineRule="auto"/>
        <w:jc w:val="both"/>
        <w:rPr>
          <w:rFonts w:ascii="Arial" w:eastAsia="Arial" w:hAnsi="Arial" w:cs="Arial"/>
          <w:b/>
          <w:sz w:val="24"/>
          <w:szCs w:val="24"/>
          <w:lang w:val="es-AR"/>
        </w:rPr>
      </w:pPr>
      <w:r w:rsidRPr="00024F13">
        <w:rPr>
          <w:rFonts w:ascii="Arial" w:eastAsia="Arial" w:hAnsi="Arial" w:cs="Arial"/>
          <w:b/>
          <w:sz w:val="24"/>
          <w:szCs w:val="24"/>
          <w:lang w:val="es-AR"/>
        </w:rPr>
        <w:t>A los efectos de la evaluación se considerará la información publicada por el Registro Único de Proveedores Provincial y demás Organismos que administren dichos datos a nivel Nacional, Provincial y Municipal.</w:t>
      </w:r>
    </w:p>
    <w:p w:rsidR="00222A8D" w:rsidRPr="00024F13" w:rsidRDefault="00222A8D" w:rsidP="0060768D">
      <w:pPr>
        <w:pStyle w:val="Prrafodelista"/>
        <w:numPr>
          <w:ilvl w:val="0"/>
          <w:numId w:val="1"/>
        </w:numPr>
        <w:spacing w:line="360" w:lineRule="auto"/>
        <w:jc w:val="both"/>
        <w:rPr>
          <w:rFonts w:ascii="Arial" w:hAnsi="Arial" w:cs="Arial"/>
          <w:b/>
          <w:sz w:val="24"/>
          <w:szCs w:val="24"/>
          <w:u w:val="single"/>
          <w:lang w:val="es-AR"/>
        </w:rPr>
      </w:pPr>
      <w:r w:rsidRPr="00024F13">
        <w:rPr>
          <w:rFonts w:ascii="Arial" w:hAnsi="Arial" w:cs="Arial"/>
          <w:b/>
          <w:sz w:val="24"/>
          <w:szCs w:val="24"/>
          <w:u w:val="single"/>
          <w:lang w:val="es-AR"/>
        </w:rPr>
        <w:t xml:space="preserve">INDICADORES DE </w:t>
      </w:r>
      <w:r w:rsidR="00882C29" w:rsidRPr="00024F13">
        <w:rPr>
          <w:rFonts w:ascii="Arial" w:hAnsi="Arial" w:cs="Arial"/>
          <w:b/>
          <w:sz w:val="24"/>
          <w:szCs w:val="24"/>
          <w:u w:val="single"/>
          <w:lang w:val="es-AR"/>
        </w:rPr>
        <w:t xml:space="preserve">CALIDAD DEL BIEN </w:t>
      </w:r>
    </w:p>
    <w:p w:rsidR="00222A8D" w:rsidRPr="00024F13" w:rsidRDefault="00222A8D" w:rsidP="00882C29">
      <w:pPr>
        <w:pStyle w:val="Prrafodelista"/>
        <w:numPr>
          <w:ilvl w:val="0"/>
          <w:numId w:val="3"/>
        </w:numPr>
        <w:spacing w:line="360" w:lineRule="auto"/>
        <w:jc w:val="both"/>
        <w:rPr>
          <w:rFonts w:ascii="Arial" w:hAnsi="Arial" w:cs="Arial"/>
          <w:sz w:val="24"/>
          <w:szCs w:val="24"/>
          <w:lang w:val="es-AR"/>
        </w:rPr>
      </w:pPr>
      <w:r w:rsidRPr="00024F13">
        <w:rPr>
          <w:rFonts w:ascii="Arial" w:hAnsi="Arial" w:cs="Arial"/>
          <w:b/>
          <w:sz w:val="24"/>
          <w:szCs w:val="24"/>
          <w:lang w:val="es-AR"/>
        </w:rPr>
        <w:t>Potencia:</w:t>
      </w:r>
      <w:r w:rsidRPr="00024F13">
        <w:rPr>
          <w:rFonts w:ascii="Arial" w:hAnsi="Arial" w:cs="Arial"/>
          <w:sz w:val="24"/>
          <w:szCs w:val="24"/>
          <w:lang w:val="es-AR"/>
        </w:rPr>
        <w:t xml:space="preserve"> se </w:t>
      </w:r>
      <w:r w:rsidR="0060768D" w:rsidRPr="00024F13">
        <w:rPr>
          <w:rFonts w:ascii="Arial" w:hAnsi="Arial" w:cs="Arial"/>
          <w:sz w:val="24"/>
          <w:szCs w:val="24"/>
          <w:lang w:val="es-AR"/>
        </w:rPr>
        <w:t>le otorgará</w:t>
      </w:r>
      <w:r w:rsidRPr="00024F13">
        <w:rPr>
          <w:rFonts w:ascii="Arial" w:hAnsi="Arial" w:cs="Arial"/>
          <w:sz w:val="24"/>
          <w:szCs w:val="24"/>
          <w:lang w:val="es-AR"/>
        </w:rPr>
        <w:t xml:space="preserve"> el máximo puntaje</w:t>
      </w:r>
      <w:r w:rsidR="0060768D" w:rsidRPr="00024F13">
        <w:rPr>
          <w:rFonts w:ascii="Arial" w:hAnsi="Arial" w:cs="Arial"/>
          <w:sz w:val="24"/>
          <w:szCs w:val="24"/>
          <w:lang w:val="es-AR"/>
        </w:rPr>
        <w:t xml:space="preserve"> previsto</w:t>
      </w:r>
      <w:r w:rsidRPr="00024F13">
        <w:rPr>
          <w:rFonts w:ascii="Arial" w:hAnsi="Arial" w:cs="Arial"/>
          <w:sz w:val="24"/>
          <w:szCs w:val="24"/>
          <w:lang w:val="es-AR"/>
        </w:rPr>
        <w:t xml:space="preserve"> </w:t>
      </w:r>
      <w:r w:rsidR="0060768D" w:rsidRPr="00024F13">
        <w:rPr>
          <w:rFonts w:ascii="Arial" w:hAnsi="Arial" w:cs="Arial"/>
          <w:sz w:val="24"/>
          <w:szCs w:val="24"/>
          <w:lang w:val="es-AR"/>
        </w:rPr>
        <w:t>a la o</w:t>
      </w:r>
      <w:r w:rsidRPr="00024F13">
        <w:rPr>
          <w:rFonts w:ascii="Arial" w:hAnsi="Arial" w:cs="Arial"/>
          <w:sz w:val="24"/>
          <w:szCs w:val="24"/>
          <w:lang w:val="es-AR"/>
        </w:rPr>
        <w:t xml:space="preserve">ferta que presente </w:t>
      </w:r>
      <w:r w:rsidR="0060768D" w:rsidRPr="00024F13">
        <w:rPr>
          <w:rFonts w:ascii="Arial" w:hAnsi="Arial" w:cs="Arial"/>
          <w:sz w:val="24"/>
          <w:szCs w:val="24"/>
          <w:lang w:val="es-AR"/>
        </w:rPr>
        <w:t>el</w:t>
      </w:r>
      <w:r w:rsidRPr="00024F13">
        <w:rPr>
          <w:rFonts w:ascii="Arial" w:hAnsi="Arial" w:cs="Arial"/>
          <w:sz w:val="24"/>
          <w:szCs w:val="24"/>
          <w:lang w:val="es-AR"/>
        </w:rPr>
        <w:t xml:space="preserve"> estabilizador con </w:t>
      </w:r>
      <w:r w:rsidR="0060768D" w:rsidRPr="00024F13">
        <w:rPr>
          <w:rFonts w:ascii="Arial" w:hAnsi="Arial" w:cs="Arial"/>
          <w:sz w:val="24"/>
          <w:szCs w:val="24"/>
          <w:lang w:val="es-AR"/>
        </w:rPr>
        <w:t xml:space="preserve">la máxima potencia que pueda proporcionar, medida en </w:t>
      </w:r>
      <w:proofErr w:type="spellStart"/>
      <w:r w:rsidR="0060768D" w:rsidRPr="00024F13">
        <w:rPr>
          <w:rFonts w:ascii="Arial" w:hAnsi="Arial" w:cs="Arial"/>
          <w:sz w:val="24"/>
          <w:szCs w:val="24"/>
          <w:lang w:val="es-AR"/>
        </w:rPr>
        <w:t>Kva</w:t>
      </w:r>
      <w:proofErr w:type="spellEnd"/>
      <w:r w:rsidR="0060768D" w:rsidRPr="00024F13">
        <w:rPr>
          <w:rFonts w:ascii="Arial" w:hAnsi="Arial" w:cs="Arial"/>
          <w:sz w:val="24"/>
          <w:szCs w:val="24"/>
          <w:lang w:val="es-AR"/>
        </w:rPr>
        <w:t xml:space="preserve"> (kilo vatios). El resto de las o</w:t>
      </w:r>
      <w:r w:rsidRPr="00024F13">
        <w:rPr>
          <w:rFonts w:ascii="Arial" w:hAnsi="Arial" w:cs="Arial"/>
          <w:sz w:val="24"/>
          <w:szCs w:val="24"/>
          <w:lang w:val="es-AR"/>
        </w:rPr>
        <w:t>fertas se evaluarán conforme a la regla de la proporcionalidad.</w:t>
      </w:r>
    </w:p>
    <w:p w:rsidR="0060768D" w:rsidRPr="00024F13" w:rsidRDefault="0060768D" w:rsidP="00882C29">
      <w:pPr>
        <w:pStyle w:val="Prrafodelista"/>
        <w:numPr>
          <w:ilvl w:val="0"/>
          <w:numId w:val="3"/>
        </w:numPr>
        <w:spacing w:line="360" w:lineRule="auto"/>
        <w:jc w:val="both"/>
        <w:rPr>
          <w:rFonts w:ascii="Arial" w:hAnsi="Arial" w:cs="Arial"/>
          <w:sz w:val="24"/>
          <w:szCs w:val="24"/>
          <w:lang w:val="es-AR"/>
        </w:rPr>
      </w:pPr>
      <w:r w:rsidRPr="00024F13">
        <w:rPr>
          <w:rFonts w:ascii="Arial" w:hAnsi="Arial" w:cs="Arial"/>
          <w:b/>
          <w:sz w:val="24"/>
          <w:szCs w:val="24"/>
          <w:lang w:val="es-AR"/>
        </w:rPr>
        <w:t>Tiempo de reacción:</w:t>
      </w:r>
      <w:r w:rsidRPr="00024F13">
        <w:rPr>
          <w:rFonts w:ascii="Arial" w:hAnsi="Arial" w:cs="Arial"/>
          <w:sz w:val="24"/>
          <w:szCs w:val="24"/>
          <w:lang w:val="es-AR"/>
        </w:rPr>
        <w:t xml:space="preserve"> se le otorgará el máximo puntaje previsto a la oferta que presente el equipo con el menor tiempo de reacción para estabilizar los </w:t>
      </w:r>
      <w:r w:rsidRPr="00024F13">
        <w:rPr>
          <w:rFonts w:ascii="Arial" w:hAnsi="Arial" w:cs="Arial"/>
          <w:sz w:val="24"/>
          <w:szCs w:val="24"/>
          <w:lang w:val="es-AR"/>
        </w:rPr>
        <w:lastRenderedPageBreak/>
        <w:t>altibajos en la tensión, medido en ms (milisegundos). Las demás ofertas serán calificadas en función del criterio de la proporcionalidad.</w:t>
      </w:r>
    </w:p>
    <w:p w:rsidR="00491F65" w:rsidRPr="00024F13" w:rsidRDefault="00894D1B" w:rsidP="00491F65">
      <w:pPr>
        <w:pStyle w:val="Prrafodelista"/>
        <w:numPr>
          <w:ilvl w:val="0"/>
          <w:numId w:val="3"/>
        </w:numPr>
        <w:spacing w:line="360" w:lineRule="auto"/>
        <w:jc w:val="both"/>
        <w:rPr>
          <w:rFonts w:ascii="Arial" w:hAnsi="Arial" w:cs="Arial"/>
          <w:sz w:val="24"/>
          <w:szCs w:val="24"/>
          <w:lang w:val="es-AR"/>
        </w:rPr>
      </w:pPr>
      <w:r w:rsidRPr="00024F13">
        <w:rPr>
          <w:rFonts w:ascii="Arial" w:hAnsi="Arial" w:cs="Arial"/>
          <w:b/>
          <w:sz w:val="24"/>
          <w:szCs w:val="24"/>
          <w:lang w:val="es-AR"/>
        </w:rPr>
        <w:t>Manual de uso</w:t>
      </w:r>
      <w:r w:rsidR="00222A8D" w:rsidRPr="00024F13">
        <w:rPr>
          <w:rFonts w:ascii="Arial" w:hAnsi="Arial" w:cs="Arial"/>
          <w:b/>
          <w:sz w:val="24"/>
          <w:szCs w:val="24"/>
          <w:lang w:val="es-AR"/>
        </w:rPr>
        <w:t>:</w:t>
      </w:r>
      <w:r w:rsidR="0060768D" w:rsidRPr="00024F13">
        <w:rPr>
          <w:rFonts w:ascii="Arial" w:hAnsi="Arial" w:cs="Arial"/>
          <w:sz w:val="24"/>
          <w:szCs w:val="24"/>
          <w:lang w:val="es-AR"/>
        </w:rPr>
        <w:t xml:space="preserve"> se le otorgará</w:t>
      </w:r>
      <w:r w:rsidR="00222A8D" w:rsidRPr="00024F13">
        <w:rPr>
          <w:rFonts w:ascii="Arial" w:hAnsi="Arial" w:cs="Arial"/>
          <w:sz w:val="24"/>
          <w:szCs w:val="24"/>
          <w:lang w:val="es-AR"/>
        </w:rPr>
        <w:t xml:space="preserve"> el máximo puntaje</w:t>
      </w:r>
      <w:r w:rsidR="0060768D" w:rsidRPr="00024F13">
        <w:rPr>
          <w:rFonts w:ascii="Arial" w:hAnsi="Arial" w:cs="Arial"/>
          <w:sz w:val="24"/>
          <w:szCs w:val="24"/>
          <w:lang w:val="es-AR"/>
        </w:rPr>
        <w:t xml:space="preserve"> previsto</w:t>
      </w:r>
      <w:r w:rsidR="00222A8D" w:rsidRPr="00024F13">
        <w:rPr>
          <w:rFonts w:ascii="Arial" w:hAnsi="Arial" w:cs="Arial"/>
          <w:sz w:val="24"/>
          <w:szCs w:val="24"/>
          <w:lang w:val="es-AR"/>
        </w:rPr>
        <w:t xml:space="preserve"> </w:t>
      </w:r>
      <w:r w:rsidR="0060768D" w:rsidRPr="00024F13">
        <w:rPr>
          <w:rFonts w:ascii="Arial" w:hAnsi="Arial" w:cs="Arial"/>
          <w:sz w:val="24"/>
          <w:szCs w:val="24"/>
          <w:lang w:val="es-AR"/>
        </w:rPr>
        <w:t>a la o</w:t>
      </w:r>
      <w:r w:rsidR="00222A8D" w:rsidRPr="00024F13">
        <w:rPr>
          <w:rFonts w:ascii="Arial" w:hAnsi="Arial" w:cs="Arial"/>
          <w:sz w:val="24"/>
          <w:szCs w:val="24"/>
          <w:lang w:val="es-AR"/>
        </w:rPr>
        <w:t xml:space="preserve">ferta que presente </w:t>
      </w:r>
      <w:r w:rsidRPr="00024F13">
        <w:rPr>
          <w:rFonts w:ascii="Arial" w:hAnsi="Arial" w:cs="Arial"/>
          <w:sz w:val="24"/>
          <w:szCs w:val="24"/>
          <w:lang w:val="es-AR"/>
        </w:rPr>
        <w:t xml:space="preserve">junto con el equipo un manual de uso que indique el funcionamiento del mismo. Aquellas ofertas que no cumplan con esta </w:t>
      </w:r>
      <w:r w:rsidR="00491F65" w:rsidRPr="00024F13">
        <w:rPr>
          <w:rFonts w:ascii="Arial" w:hAnsi="Arial" w:cs="Arial"/>
          <w:sz w:val="24"/>
          <w:szCs w:val="24"/>
          <w:lang w:val="es-AR"/>
        </w:rPr>
        <w:t>característica</w:t>
      </w:r>
      <w:r w:rsidRPr="00024F13">
        <w:rPr>
          <w:rFonts w:ascii="Arial" w:hAnsi="Arial" w:cs="Arial"/>
          <w:sz w:val="24"/>
          <w:szCs w:val="24"/>
          <w:lang w:val="es-AR"/>
        </w:rPr>
        <w:t>, carecerán del puntaje.</w:t>
      </w:r>
    </w:p>
    <w:p w:rsidR="00882C29" w:rsidRPr="00024F13" w:rsidRDefault="00882C29" w:rsidP="00882C29">
      <w:pPr>
        <w:pStyle w:val="Prrafodelista"/>
        <w:numPr>
          <w:ilvl w:val="0"/>
          <w:numId w:val="1"/>
        </w:numPr>
        <w:spacing w:line="360" w:lineRule="auto"/>
        <w:jc w:val="both"/>
        <w:rPr>
          <w:rFonts w:ascii="Arial" w:hAnsi="Arial" w:cs="Arial"/>
          <w:b/>
          <w:sz w:val="24"/>
          <w:szCs w:val="24"/>
          <w:u w:val="single"/>
          <w:lang w:val="es-AR"/>
        </w:rPr>
      </w:pPr>
      <w:r w:rsidRPr="00024F13">
        <w:rPr>
          <w:rFonts w:ascii="Arial" w:hAnsi="Arial" w:cs="Arial"/>
          <w:b/>
          <w:sz w:val="24"/>
          <w:szCs w:val="24"/>
          <w:u w:val="single"/>
          <w:lang w:val="es-AR"/>
        </w:rPr>
        <w:t>PLAZO DE ENTREGA</w:t>
      </w:r>
    </w:p>
    <w:p w:rsidR="00882C29" w:rsidRPr="00024F13" w:rsidRDefault="00882C29" w:rsidP="00882C29">
      <w:pPr>
        <w:pStyle w:val="Prrafodelista"/>
        <w:spacing w:line="360" w:lineRule="auto"/>
        <w:jc w:val="both"/>
        <w:rPr>
          <w:rFonts w:ascii="Arial" w:eastAsia="Arial" w:hAnsi="Arial" w:cs="Arial"/>
          <w:sz w:val="24"/>
          <w:szCs w:val="24"/>
          <w:lang w:val="es-AR"/>
        </w:rPr>
      </w:pPr>
      <w:r w:rsidRPr="00024F13">
        <w:rPr>
          <w:rFonts w:ascii="Arial" w:eastAsia="Arial" w:hAnsi="Arial" w:cs="Arial"/>
          <w:sz w:val="24"/>
          <w:szCs w:val="24"/>
          <w:lang w:val="es-AR"/>
        </w:rPr>
        <w:t>Teniendo en cuenta el plazo de cumplimiento estipulado por el Pliego de Condiciones Particulares o Especiales respecto de la obligación principal inherente al objeto de la contratación (la entrega de los bienes o la prestación del servicio), se calificará co</w:t>
      </w:r>
      <w:r w:rsidR="004428DF" w:rsidRPr="00024F13">
        <w:rPr>
          <w:rFonts w:ascii="Arial" w:eastAsia="Arial" w:hAnsi="Arial" w:cs="Arial"/>
          <w:sz w:val="24"/>
          <w:szCs w:val="24"/>
          <w:lang w:val="es-AR"/>
        </w:rPr>
        <w:t>n el máximo puntaje previsto (10</w:t>
      </w:r>
      <w:r w:rsidRPr="00024F13">
        <w:rPr>
          <w:rFonts w:ascii="Arial" w:eastAsia="Arial" w:hAnsi="Arial" w:cs="Arial"/>
          <w:sz w:val="24"/>
          <w:szCs w:val="24"/>
          <w:lang w:val="es-AR"/>
        </w:rPr>
        <w:t xml:space="preserve"> puntos) a la oferta que proponga dicho cumplimiento en el menor plazo cierto determinado por el oferente (oferta superadora). </w:t>
      </w:r>
    </w:p>
    <w:p w:rsidR="00882C29" w:rsidRPr="00024F13" w:rsidRDefault="00882C29" w:rsidP="00882C29">
      <w:pPr>
        <w:pStyle w:val="Prrafodelista"/>
        <w:spacing w:line="360" w:lineRule="auto"/>
        <w:jc w:val="both"/>
        <w:rPr>
          <w:rFonts w:ascii="Arial" w:eastAsia="Arial" w:hAnsi="Arial" w:cs="Arial"/>
          <w:b/>
          <w:sz w:val="24"/>
          <w:szCs w:val="24"/>
          <w:lang w:val="es-AR"/>
        </w:rPr>
      </w:pPr>
      <w:r w:rsidRPr="00024F13">
        <w:rPr>
          <w:rFonts w:ascii="Arial" w:eastAsia="Arial" w:hAnsi="Arial" w:cs="Arial"/>
          <w:sz w:val="24"/>
          <w:szCs w:val="24"/>
          <w:lang w:val="es-AR"/>
        </w:rPr>
        <w:t xml:space="preserve">Las demás ofertas serán calificadas conforme el criterio de la proporcionalidad, en función del plazo propuesto. Las ofertas que no precisen de una manera expresa y determinada el plazo cierto bajo el cual se propone cumplir con la obligación principal del contrato, o las que manifiesten un plazo igual o mayor al previsto por el Pliego, serán calificadas sin puntaje.  </w:t>
      </w:r>
    </w:p>
    <w:p w:rsidR="00882C29" w:rsidRPr="00024F13" w:rsidRDefault="00882C29" w:rsidP="00293A4F">
      <w:pPr>
        <w:spacing w:line="360" w:lineRule="auto"/>
        <w:jc w:val="both"/>
        <w:rPr>
          <w:rFonts w:ascii="Arial" w:eastAsia="Arial" w:hAnsi="Arial" w:cs="Arial"/>
          <w:b/>
          <w:sz w:val="24"/>
          <w:szCs w:val="24"/>
        </w:rPr>
      </w:pPr>
      <w:r w:rsidRPr="00024F13">
        <w:rPr>
          <w:rFonts w:ascii="Arial" w:eastAsia="Arial" w:hAnsi="Arial" w:cs="Arial"/>
          <w:b/>
          <w:sz w:val="24"/>
          <w:szCs w:val="24"/>
          <w:u w:val="single"/>
          <w:lang w:val="es-AR"/>
        </w:rPr>
        <w:t>ATENCION</w:t>
      </w:r>
      <w:r w:rsidRPr="00024F13">
        <w:rPr>
          <w:rFonts w:ascii="Arial" w:eastAsia="Arial" w:hAnsi="Arial" w:cs="Arial"/>
          <w:b/>
          <w:sz w:val="24"/>
          <w:szCs w:val="24"/>
          <w:lang w:val="es-AR"/>
        </w:rPr>
        <w:t xml:space="preserve">: </w:t>
      </w:r>
      <w:r w:rsidR="00293A4F" w:rsidRPr="00024F13">
        <w:rPr>
          <w:rFonts w:ascii="Arial" w:eastAsia="Arial" w:hAnsi="Arial" w:cs="Arial"/>
          <w:b/>
          <w:sz w:val="24"/>
          <w:szCs w:val="24"/>
          <w:lang w:val="es-AR"/>
        </w:rPr>
        <w:t>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rsidR="00491F65" w:rsidRPr="00024F13" w:rsidRDefault="00491F65" w:rsidP="00491F65">
      <w:pPr>
        <w:pStyle w:val="Prrafodelista"/>
        <w:numPr>
          <w:ilvl w:val="0"/>
          <w:numId w:val="1"/>
        </w:numPr>
        <w:spacing w:line="360" w:lineRule="auto"/>
        <w:jc w:val="both"/>
        <w:rPr>
          <w:rFonts w:ascii="Arial" w:hAnsi="Arial" w:cs="Arial"/>
          <w:b/>
          <w:sz w:val="24"/>
          <w:szCs w:val="24"/>
          <w:u w:val="single"/>
          <w:lang w:val="es-AR"/>
        </w:rPr>
      </w:pPr>
      <w:r w:rsidRPr="00024F13">
        <w:rPr>
          <w:rFonts w:ascii="Arial" w:hAnsi="Arial" w:cs="Arial"/>
          <w:b/>
          <w:sz w:val="24"/>
          <w:szCs w:val="24"/>
          <w:u w:val="single"/>
          <w:lang w:val="es-AR"/>
        </w:rPr>
        <w:t>ACREDITACIÓN ODS S/LEY 9193</w:t>
      </w:r>
    </w:p>
    <w:p w:rsidR="00491F65" w:rsidRPr="00024F13" w:rsidRDefault="00491F65" w:rsidP="00491F65">
      <w:pPr>
        <w:pStyle w:val="Sinespaciado"/>
        <w:spacing w:line="360" w:lineRule="auto"/>
        <w:ind w:left="720"/>
        <w:jc w:val="both"/>
        <w:rPr>
          <w:rFonts w:ascii="Arial" w:hAnsi="Arial" w:cs="Arial"/>
          <w:sz w:val="24"/>
          <w:szCs w:val="24"/>
        </w:rPr>
      </w:pPr>
      <w:r w:rsidRPr="00024F13">
        <w:rPr>
          <w:rFonts w:ascii="Arial" w:hAnsi="Arial" w:cs="Arial"/>
          <w:sz w:val="24"/>
          <w:szCs w:val="24"/>
        </w:rPr>
        <w:t xml:space="preserve">Para la presente contratación, se considera relevante la evaluación del desempeño empresario de los oferentes, a la luz de las metas de los Objetivos de Desarrollo Sostenible del Pacto Global de las Naciones Unidas.                                                                               </w:t>
      </w:r>
    </w:p>
    <w:p w:rsidR="00491F65" w:rsidRPr="00024F13" w:rsidRDefault="00491F65" w:rsidP="00491F65">
      <w:pPr>
        <w:pStyle w:val="Sinespaciado"/>
        <w:spacing w:line="360" w:lineRule="auto"/>
        <w:ind w:left="720"/>
        <w:jc w:val="both"/>
        <w:rPr>
          <w:rFonts w:ascii="Arial" w:hAnsi="Arial" w:cs="Arial"/>
          <w:sz w:val="24"/>
          <w:szCs w:val="24"/>
        </w:rPr>
      </w:pPr>
      <w:r w:rsidRPr="00024F13">
        <w:rPr>
          <w:rFonts w:ascii="Arial" w:hAnsi="Arial" w:cs="Arial"/>
          <w:sz w:val="24"/>
          <w:szCs w:val="24"/>
        </w:rPr>
        <w:t xml:space="preserve"> (ver  </w:t>
      </w:r>
      <w:hyperlink r:id="rId5" w:history="1">
        <w:r w:rsidRPr="00024F13">
          <w:rPr>
            <w:rStyle w:val="Hipervnculo"/>
            <w:rFonts w:ascii="Arial" w:hAnsi="Arial" w:cs="Arial"/>
            <w:sz w:val="24"/>
            <w:szCs w:val="24"/>
          </w:rPr>
          <w:t>https://www.un.org/sustainabledevelopment/es/objetivos-de-desarrollo-sostenible/</w:t>
        </w:r>
      </w:hyperlink>
      <w:r w:rsidRPr="00024F13">
        <w:rPr>
          <w:rFonts w:ascii="Arial" w:hAnsi="Arial" w:cs="Arial"/>
          <w:sz w:val="24"/>
          <w:szCs w:val="24"/>
        </w:rPr>
        <w:t>) .</w:t>
      </w:r>
    </w:p>
    <w:p w:rsidR="00491F65" w:rsidRPr="00024F13" w:rsidRDefault="00491F65" w:rsidP="00491F65">
      <w:pPr>
        <w:pStyle w:val="Sinespaciado"/>
        <w:spacing w:line="360" w:lineRule="auto"/>
        <w:ind w:left="720"/>
        <w:jc w:val="both"/>
        <w:rPr>
          <w:rFonts w:ascii="Arial" w:hAnsi="Arial" w:cs="Arial"/>
          <w:sz w:val="24"/>
          <w:szCs w:val="24"/>
        </w:rPr>
      </w:pPr>
      <w:r w:rsidRPr="00024F13">
        <w:rPr>
          <w:rFonts w:ascii="Arial" w:hAnsi="Arial" w:cs="Arial"/>
          <w:sz w:val="24"/>
          <w:szCs w:val="24"/>
        </w:rPr>
        <w:t xml:space="preserve">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w:t>
      </w:r>
      <w:r w:rsidRPr="00024F13">
        <w:rPr>
          <w:rFonts w:ascii="Arial" w:hAnsi="Arial" w:cs="Arial"/>
          <w:sz w:val="24"/>
          <w:szCs w:val="24"/>
        </w:rPr>
        <w:lastRenderedPageBreak/>
        <w:t>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w:t>
      </w:r>
    </w:p>
    <w:p w:rsidR="00491F65" w:rsidRPr="00024F13" w:rsidRDefault="00491F65" w:rsidP="00491F65">
      <w:pPr>
        <w:pStyle w:val="Sinespaciado"/>
        <w:spacing w:line="360" w:lineRule="auto"/>
        <w:ind w:left="720"/>
        <w:jc w:val="both"/>
        <w:rPr>
          <w:rFonts w:ascii="Arial" w:hAnsi="Arial" w:cs="Arial"/>
          <w:sz w:val="24"/>
          <w:szCs w:val="24"/>
        </w:rPr>
      </w:pPr>
      <w:r w:rsidRPr="00024F13">
        <w:rPr>
          <w:rFonts w:ascii="Arial" w:hAnsi="Arial" w:cs="Arial"/>
          <w:sz w:val="24"/>
          <w:szCs w:val="24"/>
        </w:rPr>
        <w:t xml:space="preserve"> (ver: </w:t>
      </w:r>
      <w:hyperlink r:id="rId6" w:history="1">
        <w:r w:rsidRPr="00024F13">
          <w:rPr>
            <w:rStyle w:val="Hipervnculo"/>
            <w:rFonts w:ascii="Arial" w:hAnsi="Arial" w:cs="Arial"/>
            <w:sz w:val="24"/>
            <w:szCs w:val="24"/>
          </w:rPr>
          <w:t>https://www.mendoza.gov.ar/compras/compras-publicas-sustentables/</w:t>
        </w:r>
      </w:hyperlink>
      <w:r w:rsidRPr="00024F13">
        <w:rPr>
          <w:rFonts w:ascii="Arial" w:hAnsi="Arial" w:cs="Arial"/>
          <w:sz w:val="24"/>
          <w:szCs w:val="24"/>
        </w:rPr>
        <w:t>)</w:t>
      </w:r>
    </w:p>
    <w:p w:rsidR="00491F65" w:rsidRPr="00024F13" w:rsidRDefault="00491F65" w:rsidP="00491F65">
      <w:pPr>
        <w:pStyle w:val="Sinespaciado"/>
        <w:spacing w:line="360" w:lineRule="auto"/>
        <w:ind w:left="720"/>
        <w:jc w:val="both"/>
        <w:rPr>
          <w:rFonts w:ascii="Arial" w:hAnsi="Arial" w:cs="Arial"/>
          <w:sz w:val="24"/>
          <w:szCs w:val="24"/>
        </w:rPr>
      </w:pPr>
    </w:p>
    <w:p w:rsidR="00222A8D" w:rsidRPr="00024F13" w:rsidRDefault="00222A8D" w:rsidP="00491F65">
      <w:pPr>
        <w:pStyle w:val="Prrafodelista"/>
        <w:numPr>
          <w:ilvl w:val="0"/>
          <w:numId w:val="1"/>
        </w:numPr>
        <w:spacing w:line="360" w:lineRule="auto"/>
        <w:jc w:val="both"/>
        <w:rPr>
          <w:rFonts w:ascii="Arial" w:hAnsi="Arial" w:cs="Arial"/>
          <w:b/>
          <w:sz w:val="24"/>
          <w:szCs w:val="24"/>
          <w:u w:val="single"/>
          <w:lang w:val="es-AR"/>
        </w:rPr>
      </w:pPr>
      <w:r w:rsidRPr="00024F13">
        <w:rPr>
          <w:rFonts w:ascii="Arial" w:hAnsi="Arial" w:cs="Arial"/>
          <w:b/>
          <w:sz w:val="24"/>
          <w:szCs w:val="24"/>
          <w:u w:val="single"/>
          <w:lang w:val="es-AR"/>
        </w:rPr>
        <w:t>O</w:t>
      </w:r>
      <w:r w:rsidR="00882C29" w:rsidRPr="00024F13">
        <w:rPr>
          <w:rFonts w:ascii="Arial" w:hAnsi="Arial" w:cs="Arial"/>
          <w:b/>
          <w:sz w:val="24"/>
          <w:szCs w:val="24"/>
          <w:u w:val="single"/>
          <w:lang w:val="es-AR"/>
        </w:rPr>
        <w:t xml:space="preserve">FERTA ECONÓMICA </w:t>
      </w:r>
    </w:p>
    <w:p w:rsidR="00222A8D" w:rsidRPr="00024F13" w:rsidRDefault="00222A8D" w:rsidP="00882C29">
      <w:pPr>
        <w:spacing w:line="360" w:lineRule="auto"/>
        <w:ind w:left="708"/>
        <w:jc w:val="both"/>
        <w:rPr>
          <w:rFonts w:ascii="Arial" w:hAnsi="Arial" w:cs="Arial"/>
          <w:sz w:val="24"/>
          <w:szCs w:val="24"/>
          <w:lang w:val="es-AR"/>
        </w:rPr>
      </w:pPr>
      <w:r w:rsidRPr="00024F13">
        <w:rPr>
          <w:rFonts w:ascii="Arial" w:hAnsi="Arial" w:cs="Arial"/>
          <w:sz w:val="24"/>
          <w:szCs w:val="24"/>
          <w:lang w:val="es-AR"/>
        </w:rPr>
        <w:t xml:space="preserve">Para este rubro se asignará el mayor puntaje (40 puntos) a la oferta que, siendo formal y técnicamente admisible, resulte ser la de menor precio. Las demás serán puntuadas conforme la regla de proporcionalidad. </w:t>
      </w:r>
    </w:p>
    <w:p w:rsidR="00222A8D" w:rsidRPr="00024F13" w:rsidRDefault="00222A8D" w:rsidP="00882C29">
      <w:pPr>
        <w:spacing w:line="360" w:lineRule="auto"/>
        <w:ind w:left="708"/>
        <w:jc w:val="both"/>
        <w:rPr>
          <w:rFonts w:ascii="Arial" w:hAnsi="Arial" w:cs="Arial"/>
          <w:sz w:val="24"/>
          <w:szCs w:val="24"/>
          <w:lang w:val="es-AR"/>
        </w:rPr>
      </w:pPr>
      <w:r w:rsidRPr="00024F13">
        <w:rPr>
          <w:rFonts w:ascii="Arial" w:hAnsi="Arial" w:cs="Arial"/>
          <w:sz w:val="24"/>
          <w:szCs w:val="24"/>
          <w:lang w:val="es-AR"/>
        </w:rPr>
        <w:t>Por regla, las ofertas que no superen los 30 puntos serán desestimadas por inconvenientes. La Administración licitante, en virtud de razones fundadas, podrá valorar como conveniente a una oferta determinada, en caso de que la misma no alcanzare el mínimo establecido.</w:t>
      </w:r>
    </w:p>
    <w:p w:rsidR="00C42D71" w:rsidRPr="00024F13" w:rsidRDefault="00C42D71" w:rsidP="00882C29">
      <w:pPr>
        <w:spacing w:line="360" w:lineRule="auto"/>
        <w:rPr>
          <w:rFonts w:ascii="Arial" w:hAnsi="Arial" w:cs="Arial"/>
        </w:rPr>
      </w:pPr>
    </w:p>
    <w:sectPr w:rsidR="00C42D71" w:rsidRPr="00024F13" w:rsidSect="00222A8D">
      <w:pgSz w:w="11907" w:h="16839" w:code="9"/>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433"/>
    <w:multiLevelType w:val="hybridMultilevel"/>
    <w:tmpl w:val="75C80E6E"/>
    <w:lvl w:ilvl="0" w:tplc="8DD0F13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0DE409A9"/>
    <w:multiLevelType w:val="hybridMultilevel"/>
    <w:tmpl w:val="E542994C"/>
    <w:lvl w:ilvl="0" w:tplc="EFAEA350">
      <w:start w:val="2"/>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22E02811"/>
    <w:multiLevelType w:val="hybridMultilevel"/>
    <w:tmpl w:val="7E8666AE"/>
    <w:lvl w:ilvl="0" w:tplc="8DD0F13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44384839"/>
    <w:multiLevelType w:val="hybridMultilevel"/>
    <w:tmpl w:val="A8C28D76"/>
    <w:lvl w:ilvl="0" w:tplc="5F0CBC7C">
      <w:start w:val="1"/>
      <w:numFmt w:val="lowerLetter"/>
      <w:lvlText w:val="%1."/>
      <w:lvlJc w:val="left"/>
      <w:pPr>
        <w:ind w:left="1440" w:hanging="360"/>
      </w:pPr>
      <w:rPr>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56E60850"/>
    <w:multiLevelType w:val="hybridMultilevel"/>
    <w:tmpl w:val="9AD42B6A"/>
    <w:lvl w:ilvl="0" w:tplc="E522CC5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04B55D7"/>
    <w:multiLevelType w:val="hybridMultilevel"/>
    <w:tmpl w:val="D13A3760"/>
    <w:lvl w:ilvl="0" w:tplc="E522CC5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10121F8"/>
    <w:multiLevelType w:val="hybridMultilevel"/>
    <w:tmpl w:val="84EE4906"/>
    <w:lvl w:ilvl="0" w:tplc="DD3624D4">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90A6E9C"/>
    <w:multiLevelType w:val="hybridMultilevel"/>
    <w:tmpl w:val="9A4030C8"/>
    <w:lvl w:ilvl="0" w:tplc="D8F6F14E">
      <w:start w:val="1"/>
      <w:numFmt w:val="lowerLetter"/>
      <w:lvlText w:val="%1)"/>
      <w:lvlJc w:val="left"/>
      <w:pPr>
        <w:ind w:left="1440" w:hanging="360"/>
      </w:pPr>
      <w:rPr>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5"/>
  </w:num>
  <w:num w:numId="2">
    <w:abstractNumId w:val="3"/>
  </w:num>
  <w:num w:numId="3">
    <w:abstractNumId w:val="7"/>
  </w:num>
  <w:num w:numId="4">
    <w:abstractNumId w:val="6"/>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0A"/>
    <w:rsid w:val="00024F13"/>
    <w:rsid w:val="00222A8D"/>
    <w:rsid w:val="00293A4F"/>
    <w:rsid w:val="004428DF"/>
    <w:rsid w:val="00491F65"/>
    <w:rsid w:val="0060768D"/>
    <w:rsid w:val="00882C29"/>
    <w:rsid w:val="00894D1B"/>
    <w:rsid w:val="00924091"/>
    <w:rsid w:val="00BB1998"/>
    <w:rsid w:val="00C42D71"/>
    <w:rsid w:val="00CB2684"/>
    <w:rsid w:val="00CE730A"/>
    <w:rsid w:val="00DD2971"/>
    <w:rsid w:val="00E76C26"/>
    <w:rsid w:val="00E95280"/>
    <w:rsid w:val="00EA4A16"/>
    <w:rsid w:val="00F141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29C59-3AFE-41C7-9B68-5A441AA8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A8D"/>
    <w:rPr>
      <w:rFonts w:asciiTheme="minorHAnsi" w:hAnsiTheme="minorHAnsi" w:cstheme="minorBidi"/>
      <w:sz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2A8D"/>
    <w:pPr>
      <w:ind w:left="720"/>
      <w:contextualSpacing/>
    </w:pPr>
  </w:style>
  <w:style w:type="table" w:styleId="Tablaconcuadrcula">
    <w:name w:val="Table Grid"/>
    <w:basedOn w:val="Tablanormal"/>
    <w:uiPriority w:val="59"/>
    <w:rsid w:val="00222A8D"/>
    <w:pPr>
      <w:spacing w:after="0" w:line="240" w:lineRule="auto"/>
    </w:pPr>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82C29"/>
    <w:pPr>
      <w:spacing w:after="0" w:line="240" w:lineRule="auto"/>
    </w:pPr>
    <w:rPr>
      <w:rFonts w:ascii="Calibri" w:eastAsia="Calibri" w:hAnsi="Calibri" w:cs="Calibri"/>
      <w:sz w:val="22"/>
      <w:lang w:eastAsia="es-AR"/>
    </w:rPr>
  </w:style>
  <w:style w:type="character" w:styleId="Hipervnculo">
    <w:name w:val="Hyperlink"/>
    <w:basedOn w:val="Fuentedeprrafopredeter"/>
    <w:uiPriority w:val="99"/>
    <w:unhideWhenUsed/>
    <w:rsid w:val="00882C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ndoza.gov.ar/compras/compras-publicas-sustentables/" TargetMode="External"/><Relationship Id="rId5" Type="http://schemas.openxmlformats.org/officeDocument/2006/relationships/hyperlink" Target="https://www.un.org/sustainabledevelopment/es/objetivos-de-desarrollo-sostenibl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6051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Nasi</dc:creator>
  <cp:keywords/>
  <dc:description/>
  <cp:lastModifiedBy>Roberto Cabaña</cp:lastModifiedBy>
  <cp:revision>3</cp:revision>
  <dcterms:created xsi:type="dcterms:W3CDTF">2023-08-09T16:52:00Z</dcterms:created>
  <dcterms:modified xsi:type="dcterms:W3CDTF">2023-08-09T17:01:00Z</dcterms:modified>
</cp:coreProperties>
</file>