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9F" w:rsidRPr="00C572F8" w:rsidRDefault="00C572F8" w:rsidP="00C572F8">
      <w:pPr>
        <w:spacing w:line="360" w:lineRule="auto"/>
        <w:ind w:firstLine="708"/>
        <w:jc w:val="center"/>
        <w:rPr>
          <w:rFonts w:ascii="Arial" w:hAnsi="Arial" w:cs="Arial"/>
          <w:b/>
          <w:sz w:val="28"/>
          <w:szCs w:val="24"/>
          <w:u w:val="single"/>
        </w:rPr>
      </w:pPr>
      <w:r w:rsidRPr="005734C2">
        <w:rPr>
          <w:rFonts w:ascii="Arial" w:hAnsi="Arial" w:cs="Arial"/>
          <w:b/>
          <w:sz w:val="24"/>
          <w:szCs w:val="24"/>
          <w:u w:val="single"/>
        </w:rPr>
        <w:t xml:space="preserve">GRILLA MODELO DE EVALUACIÓN DE OFERTA </w:t>
      </w:r>
      <w:r>
        <w:rPr>
          <w:rFonts w:ascii="Arial" w:hAnsi="Arial" w:cs="Arial"/>
          <w:b/>
          <w:sz w:val="24"/>
          <w:szCs w:val="24"/>
          <w:u w:val="single"/>
        </w:rPr>
        <w:t>PARA PAPEL PARA IMPRESIÓN</w:t>
      </w:r>
    </w:p>
    <w:tbl>
      <w:tblPr>
        <w:tblW w:w="8472" w:type="dxa"/>
        <w:jc w:val="center"/>
        <w:tblCellMar>
          <w:left w:w="70" w:type="dxa"/>
          <w:right w:w="70" w:type="dxa"/>
        </w:tblCellMar>
        <w:tblLook w:val="04A0" w:firstRow="1" w:lastRow="0" w:firstColumn="1" w:lastColumn="0" w:noHBand="0" w:noVBand="1"/>
      </w:tblPr>
      <w:tblGrid>
        <w:gridCol w:w="6811"/>
        <w:gridCol w:w="1661"/>
      </w:tblGrid>
      <w:tr w:rsidR="008E4A7B" w:rsidRPr="00C572F8" w:rsidTr="00FD289C">
        <w:trPr>
          <w:trHeight w:val="246"/>
          <w:jc w:val="center"/>
        </w:trPr>
        <w:tc>
          <w:tcPr>
            <w:tcW w:w="6811" w:type="dxa"/>
            <w:tcBorders>
              <w:top w:val="single" w:sz="4" w:space="0" w:color="auto"/>
              <w:left w:val="single" w:sz="4" w:space="0" w:color="auto"/>
              <w:bottom w:val="single" w:sz="4" w:space="0" w:color="auto"/>
              <w:right w:val="single" w:sz="4" w:space="0" w:color="auto"/>
            </w:tcBorders>
            <w:noWrap/>
            <w:vAlign w:val="center"/>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CRITERIO</w:t>
            </w:r>
          </w:p>
        </w:tc>
        <w:tc>
          <w:tcPr>
            <w:tcW w:w="1661" w:type="dxa"/>
            <w:tcBorders>
              <w:top w:val="single" w:sz="4" w:space="0" w:color="auto"/>
              <w:left w:val="nil"/>
              <w:bottom w:val="single" w:sz="4" w:space="0" w:color="auto"/>
              <w:right w:val="single" w:sz="4" w:space="0" w:color="auto"/>
            </w:tcBorders>
            <w:noWrap/>
            <w:vAlign w:val="center"/>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PUNTAJE</w:t>
            </w:r>
          </w:p>
        </w:tc>
      </w:tr>
      <w:tr w:rsidR="008E4A7B" w:rsidRPr="00C572F8" w:rsidTr="00FD289C">
        <w:trPr>
          <w:trHeight w:val="246"/>
          <w:jc w:val="center"/>
        </w:trPr>
        <w:tc>
          <w:tcPr>
            <w:tcW w:w="6811" w:type="dxa"/>
            <w:tcBorders>
              <w:top w:val="single" w:sz="4" w:space="0" w:color="auto"/>
              <w:left w:val="single" w:sz="4" w:space="0" w:color="auto"/>
              <w:bottom w:val="single" w:sz="4" w:space="0" w:color="auto"/>
              <w:right w:val="single" w:sz="4" w:space="0" w:color="auto"/>
            </w:tcBorders>
            <w:noWrap/>
            <w:vAlign w:val="center"/>
            <w:hideMark/>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1. ANTECEDENTES DEL PROVEEDOR</w:t>
            </w:r>
          </w:p>
          <w:p w:rsidR="008E4A7B" w:rsidRPr="00C572F8" w:rsidRDefault="008E4A7B" w:rsidP="00007EA3">
            <w:pPr>
              <w:numPr>
                <w:ilvl w:val="0"/>
                <w:numId w:val="10"/>
              </w:num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Contractuales (5)</w:t>
            </w:r>
          </w:p>
          <w:p w:rsidR="008E4A7B" w:rsidRPr="00C572F8" w:rsidRDefault="008E4A7B" w:rsidP="00007EA3">
            <w:pPr>
              <w:numPr>
                <w:ilvl w:val="0"/>
                <w:numId w:val="10"/>
              </w:numPr>
              <w:spacing w:after="200" w:line="360" w:lineRule="auto"/>
              <w:contextualSpacing/>
              <w:jc w:val="both"/>
              <w:rPr>
                <w:rFonts w:ascii="Arial" w:eastAsia="Calibri" w:hAnsi="Arial" w:cs="Arial"/>
                <w:b/>
                <w:bCs/>
                <w:sz w:val="24"/>
                <w:szCs w:val="24"/>
              </w:rPr>
            </w:pPr>
            <w:r w:rsidRPr="00C572F8">
              <w:rPr>
                <w:rFonts w:ascii="Arial" w:eastAsia="Calibri" w:hAnsi="Arial" w:cs="Arial"/>
                <w:b/>
                <w:bCs/>
                <w:sz w:val="24"/>
                <w:szCs w:val="24"/>
              </w:rPr>
              <w:t>Comerciales (5)</w:t>
            </w:r>
          </w:p>
        </w:tc>
        <w:tc>
          <w:tcPr>
            <w:tcW w:w="1661" w:type="dxa"/>
            <w:tcBorders>
              <w:top w:val="single" w:sz="4" w:space="0" w:color="auto"/>
              <w:left w:val="nil"/>
              <w:bottom w:val="single" w:sz="4" w:space="0" w:color="auto"/>
              <w:right w:val="single" w:sz="4" w:space="0" w:color="auto"/>
            </w:tcBorders>
            <w:noWrap/>
            <w:vAlign w:val="center"/>
            <w:hideMark/>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10</w:t>
            </w:r>
          </w:p>
        </w:tc>
      </w:tr>
      <w:tr w:rsidR="008E4A7B" w:rsidRPr="00C572F8" w:rsidTr="00FD289C">
        <w:trPr>
          <w:trHeight w:val="1947"/>
          <w:jc w:val="center"/>
        </w:trPr>
        <w:tc>
          <w:tcPr>
            <w:tcW w:w="6811" w:type="dxa"/>
            <w:tcBorders>
              <w:top w:val="single" w:sz="4" w:space="0" w:color="auto"/>
              <w:left w:val="single" w:sz="4" w:space="0" w:color="auto"/>
              <w:bottom w:val="single" w:sz="4" w:space="0" w:color="auto"/>
              <w:right w:val="single" w:sz="4" w:space="0" w:color="auto"/>
            </w:tcBorders>
            <w:noWrap/>
            <w:vAlign w:val="center"/>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2. CALIDAD DEL PRODUCTO</w:t>
            </w:r>
          </w:p>
          <w:p w:rsidR="008E4A7B" w:rsidRPr="00C572F8" w:rsidRDefault="008E4A7B" w:rsidP="00007EA3">
            <w:pPr>
              <w:numPr>
                <w:ilvl w:val="0"/>
                <w:numId w:val="11"/>
              </w:numPr>
              <w:spacing w:after="200" w:line="360" w:lineRule="auto"/>
              <w:contextualSpacing/>
              <w:jc w:val="both"/>
              <w:rPr>
                <w:rFonts w:ascii="Arial" w:eastAsia="Calibri" w:hAnsi="Arial" w:cs="Arial"/>
                <w:b/>
                <w:bCs/>
                <w:sz w:val="24"/>
                <w:szCs w:val="24"/>
              </w:rPr>
            </w:pPr>
            <w:r w:rsidRPr="00C572F8">
              <w:rPr>
                <w:rFonts w:ascii="Arial" w:eastAsia="Calibri" w:hAnsi="Arial" w:cs="Arial"/>
                <w:b/>
                <w:bCs/>
                <w:sz w:val="24"/>
                <w:szCs w:val="24"/>
              </w:rPr>
              <w:t>Gramaje papel según el tipo de impresión</w:t>
            </w:r>
          </w:p>
        </w:tc>
        <w:tc>
          <w:tcPr>
            <w:tcW w:w="1661" w:type="dxa"/>
            <w:tcBorders>
              <w:top w:val="single" w:sz="4" w:space="0" w:color="auto"/>
              <w:left w:val="nil"/>
              <w:bottom w:val="single" w:sz="4" w:space="0" w:color="auto"/>
              <w:right w:val="single" w:sz="4" w:space="0" w:color="auto"/>
            </w:tcBorders>
            <w:noWrap/>
            <w:vAlign w:val="center"/>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10</w:t>
            </w:r>
          </w:p>
        </w:tc>
      </w:tr>
      <w:tr w:rsidR="008E4A7B" w:rsidRPr="00C572F8" w:rsidTr="00FD289C">
        <w:trPr>
          <w:trHeight w:val="246"/>
          <w:jc w:val="center"/>
        </w:trPr>
        <w:tc>
          <w:tcPr>
            <w:tcW w:w="6811" w:type="dxa"/>
            <w:tcBorders>
              <w:top w:val="nil"/>
              <w:left w:val="single" w:sz="4" w:space="0" w:color="auto"/>
              <w:bottom w:val="single" w:sz="4" w:space="0" w:color="auto"/>
              <w:right w:val="single" w:sz="4" w:space="0" w:color="auto"/>
            </w:tcBorders>
            <w:noWrap/>
            <w:vAlign w:val="center"/>
            <w:hideMark/>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3. PLAZO</w:t>
            </w:r>
          </w:p>
        </w:tc>
        <w:tc>
          <w:tcPr>
            <w:tcW w:w="1661" w:type="dxa"/>
            <w:tcBorders>
              <w:top w:val="nil"/>
              <w:left w:val="nil"/>
              <w:bottom w:val="single" w:sz="4" w:space="0" w:color="auto"/>
              <w:right w:val="single" w:sz="4" w:space="0" w:color="auto"/>
            </w:tcBorders>
            <w:noWrap/>
            <w:vAlign w:val="center"/>
            <w:hideMark/>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10</w:t>
            </w:r>
          </w:p>
        </w:tc>
      </w:tr>
      <w:tr w:rsidR="008E4A7B" w:rsidRPr="00C572F8" w:rsidTr="00FD289C">
        <w:trPr>
          <w:trHeight w:val="246"/>
          <w:jc w:val="center"/>
        </w:trPr>
        <w:tc>
          <w:tcPr>
            <w:tcW w:w="6811" w:type="dxa"/>
            <w:tcBorders>
              <w:top w:val="nil"/>
              <w:left w:val="single" w:sz="4" w:space="0" w:color="auto"/>
              <w:bottom w:val="single" w:sz="4" w:space="0" w:color="auto"/>
              <w:right w:val="single" w:sz="4" w:space="0" w:color="auto"/>
            </w:tcBorders>
            <w:noWrap/>
            <w:vAlign w:val="center"/>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4. CELULOSA ALTERNATIVA</w:t>
            </w:r>
          </w:p>
        </w:tc>
        <w:tc>
          <w:tcPr>
            <w:tcW w:w="1661" w:type="dxa"/>
            <w:tcBorders>
              <w:top w:val="nil"/>
              <w:left w:val="nil"/>
              <w:bottom w:val="single" w:sz="4" w:space="0" w:color="auto"/>
              <w:right w:val="single" w:sz="4" w:space="0" w:color="auto"/>
            </w:tcBorders>
            <w:noWrap/>
            <w:vAlign w:val="center"/>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10</w:t>
            </w:r>
          </w:p>
        </w:tc>
      </w:tr>
      <w:tr w:rsidR="008E4A7B" w:rsidRPr="00C572F8" w:rsidTr="00FD289C">
        <w:trPr>
          <w:trHeight w:val="246"/>
          <w:jc w:val="center"/>
        </w:trPr>
        <w:tc>
          <w:tcPr>
            <w:tcW w:w="6811" w:type="dxa"/>
            <w:tcBorders>
              <w:top w:val="nil"/>
              <w:left w:val="single" w:sz="4" w:space="0" w:color="auto"/>
              <w:bottom w:val="single" w:sz="4" w:space="0" w:color="auto"/>
              <w:right w:val="single" w:sz="4" w:space="0" w:color="auto"/>
            </w:tcBorders>
            <w:noWrap/>
            <w:vAlign w:val="center"/>
            <w:hideMark/>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5. ACREDITACIÓN ODS</w:t>
            </w:r>
          </w:p>
        </w:tc>
        <w:tc>
          <w:tcPr>
            <w:tcW w:w="1661" w:type="dxa"/>
            <w:tcBorders>
              <w:top w:val="nil"/>
              <w:left w:val="nil"/>
              <w:bottom w:val="single" w:sz="4" w:space="0" w:color="auto"/>
              <w:right w:val="single" w:sz="4" w:space="0" w:color="auto"/>
            </w:tcBorders>
            <w:noWrap/>
            <w:vAlign w:val="center"/>
            <w:hideMark/>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10</w:t>
            </w:r>
          </w:p>
        </w:tc>
      </w:tr>
      <w:tr w:rsidR="008E4A7B" w:rsidRPr="00C572F8" w:rsidTr="00FD289C">
        <w:trPr>
          <w:trHeight w:val="246"/>
          <w:jc w:val="center"/>
        </w:trPr>
        <w:tc>
          <w:tcPr>
            <w:tcW w:w="6811" w:type="dxa"/>
            <w:tcBorders>
              <w:top w:val="nil"/>
              <w:left w:val="single" w:sz="4" w:space="0" w:color="auto"/>
              <w:bottom w:val="single" w:sz="4" w:space="0" w:color="auto"/>
              <w:right w:val="single" w:sz="4" w:space="0" w:color="auto"/>
            </w:tcBorders>
            <w:noWrap/>
            <w:vAlign w:val="center"/>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6. OFERTA ECONÓMICA- PRECIO</w:t>
            </w:r>
          </w:p>
        </w:tc>
        <w:tc>
          <w:tcPr>
            <w:tcW w:w="1661" w:type="dxa"/>
            <w:tcBorders>
              <w:top w:val="nil"/>
              <w:left w:val="nil"/>
              <w:bottom w:val="single" w:sz="4" w:space="0" w:color="auto"/>
              <w:right w:val="single" w:sz="4" w:space="0" w:color="auto"/>
            </w:tcBorders>
            <w:noWrap/>
            <w:vAlign w:val="center"/>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50</w:t>
            </w:r>
          </w:p>
        </w:tc>
      </w:tr>
      <w:tr w:rsidR="008E4A7B" w:rsidRPr="00C572F8" w:rsidTr="00FD289C">
        <w:trPr>
          <w:trHeight w:val="246"/>
          <w:jc w:val="center"/>
        </w:trPr>
        <w:tc>
          <w:tcPr>
            <w:tcW w:w="6811" w:type="dxa"/>
            <w:tcBorders>
              <w:top w:val="nil"/>
              <w:left w:val="single" w:sz="4" w:space="0" w:color="auto"/>
              <w:bottom w:val="single" w:sz="4" w:space="0" w:color="auto"/>
              <w:right w:val="single" w:sz="4" w:space="0" w:color="auto"/>
            </w:tcBorders>
            <w:noWrap/>
            <w:vAlign w:val="center"/>
            <w:hideMark/>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TOTAL</w:t>
            </w:r>
          </w:p>
        </w:tc>
        <w:tc>
          <w:tcPr>
            <w:tcW w:w="1661" w:type="dxa"/>
            <w:tcBorders>
              <w:top w:val="nil"/>
              <w:left w:val="nil"/>
              <w:bottom w:val="single" w:sz="4" w:space="0" w:color="auto"/>
              <w:right w:val="single" w:sz="4" w:space="0" w:color="auto"/>
            </w:tcBorders>
            <w:noWrap/>
            <w:vAlign w:val="center"/>
            <w:hideMark/>
          </w:tcPr>
          <w:p w:rsidR="008E4A7B" w:rsidRPr="00C572F8" w:rsidRDefault="008E4A7B" w:rsidP="00007EA3">
            <w:pPr>
              <w:spacing w:after="200" w:line="360" w:lineRule="auto"/>
              <w:jc w:val="both"/>
              <w:rPr>
                <w:rFonts w:ascii="Arial" w:eastAsia="Calibri" w:hAnsi="Arial" w:cs="Arial"/>
                <w:b/>
                <w:bCs/>
                <w:sz w:val="24"/>
                <w:szCs w:val="24"/>
              </w:rPr>
            </w:pPr>
            <w:r w:rsidRPr="00C572F8">
              <w:rPr>
                <w:rFonts w:ascii="Arial" w:eastAsia="Calibri" w:hAnsi="Arial" w:cs="Arial"/>
                <w:b/>
                <w:bCs/>
                <w:sz w:val="24"/>
                <w:szCs w:val="24"/>
              </w:rPr>
              <w:t>100</w:t>
            </w:r>
          </w:p>
        </w:tc>
      </w:tr>
    </w:tbl>
    <w:p w:rsidR="008E4A7B" w:rsidRPr="00C572F8" w:rsidRDefault="008E4A7B" w:rsidP="00007EA3">
      <w:pPr>
        <w:spacing w:line="360" w:lineRule="auto"/>
        <w:ind w:firstLine="708"/>
        <w:jc w:val="both"/>
        <w:rPr>
          <w:rFonts w:ascii="Arial" w:hAnsi="Arial" w:cs="Arial"/>
          <w:b/>
          <w:sz w:val="24"/>
          <w:szCs w:val="24"/>
          <w:u w:val="single"/>
        </w:rPr>
      </w:pPr>
    </w:p>
    <w:p w:rsidR="008E4A7B" w:rsidRPr="00C572F8" w:rsidRDefault="008E4A7B" w:rsidP="00007EA3">
      <w:pPr>
        <w:pStyle w:val="Prrafodelista"/>
        <w:numPr>
          <w:ilvl w:val="0"/>
          <w:numId w:val="12"/>
        </w:numPr>
        <w:spacing w:line="360" w:lineRule="auto"/>
        <w:ind w:left="12"/>
        <w:jc w:val="both"/>
        <w:rPr>
          <w:rFonts w:ascii="Arial" w:hAnsi="Arial" w:cs="Arial"/>
          <w:b/>
          <w:sz w:val="24"/>
          <w:szCs w:val="24"/>
          <w:u w:val="single"/>
        </w:rPr>
      </w:pPr>
      <w:r w:rsidRPr="00C572F8">
        <w:rPr>
          <w:rFonts w:ascii="Arial" w:hAnsi="Arial" w:cs="Arial"/>
          <w:b/>
          <w:sz w:val="24"/>
          <w:szCs w:val="24"/>
          <w:u w:val="single"/>
        </w:rPr>
        <w:t>ANTECEDENTES DEL PROVEEDOR:</w:t>
      </w:r>
    </w:p>
    <w:p w:rsidR="008E4A7B" w:rsidRPr="00C572F8" w:rsidRDefault="008E4A7B" w:rsidP="00007EA3">
      <w:pPr>
        <w:pStyle w:val="Prrafodelista"/>
        <w:numPr>
          <w:ilvl w:val="0"/>
          <w:numId w:val="13"/>
        </w:numPr>
        <w:spacing w:line="360" w:lineRule="auto"/>
        <w:ind w:left="372"/>
        <w:jc w:val="both"/>
        <w:rPr>
          <w:rFonts w:ascii="Arial" w:eastAsia="Times New Roman" w:hAnsi="Arial" w:cs="Arial"/>
          <w:color w:val="000000"/>
          <w:sz w:val="24"/>
          <w:szCs w:val="24"/>
        </w:rPr>
      </w:pPr>
      <w:r w:rsidRPr="00C572F8">
        <w:rPr>
          <w:rFonts w:ascii="Arial" w:hAnsi="Arial" w:cs="Arial"/>
          <w:b/>
          <w:sz w:val="24"/>
          <w:szCs w:val="24"/>
        </w:rPr>
        <w:t xml:space="preserve">Contractuales: </w:t>
      </w:r>
      <w:r w:rsidRPr="00C572F8">
        <w:rPr>
          <w:rFonts w:ascii="Arial" w:eastAsia="Times New Roman" w:hAnsi="Arial" w:cs="Arial"/>
          <w:color w:val="000000"/>
          <w:sz w:val="24"/>
          <w:szCs w:val="24"/>
        </w:rPr>
        <w:t>Se calificará con el máximo puntaje previsto (5 puntos) a los oferentes que no posean antecedentes en el Registro Único de Proveedores de Mendoza, de penalidades o sanciones aplicadas dentro del año calendario anterior a la fecha de apertura de ofertas.</w:t>
      </w:r>
    </w:p>
    <w:p w:rsidR="008E4A7B" w:rsidRPr="00C572F8" w:rsidRDefault="008E4A7B" w:rsidP="00007EA3">
      <w:pPr>
        <w:pStyle w:val="Prrafodelista"/>
        <w:spacing w:line="360" w:lineRule="auto"/>
        <w:ind w:left="372"/>
        <w:jc w:val="both"/>
        <w:rPr>
          <w:rFonts w:ascii="Arial" w:eastAsia="Times New Roman" w:hAnsi="Arial" w:cs="Arial"/>
          <w:color w:val="000000"/>
          <w:sz w:val="24"/>
          <w:szCs w:val="24"/>
        </w:rPr>
      </w:pPr>
      <w:r w:rsidRPr="00C572F8">
        <w:rPr>
          <w:rFonts w:ascii="Arial" w:eastAsia="Times New Roman" w:hAnsi="Arial" w:cs="Arial"/>
          <w:color w:val="000000"/>
          <w:sz w:val="24"/>
          <w:szCs w:val="24"/>
        </w:rPr>
        <w:t>En caso de oferentes</w:t>
      </w:r>
      <w:bookmarkStart w:id="0" w:name="_GoBack"/>
      <w:bookmarkEnd w:id="0"/>
      <w:r w:rsidRPr="00C572F8">
        <w:rPr>
          <w:rFonts w:ascii="Arial" w:eastAsia="Times New Roman" w:hAnsi="Arial" w:cs="Arial"/>
          <w:color w:val="000000"/>
          <w:sz w:val="24"/>
          <w:szCs w:val="24"/>
        </w:rPr>
        <w:t xml:space="preserve"> que no posean en el Registro Único de Proveedores una inscripción vigente en dicho período, también serán calificados con el máximo puntaje (10</w:t>
      </w:r>
      <w:r w:rsidRPr="00C572F8">
        <w:rPr>
          <w:rFonts w:ascii="Arial" w:eastAsia="Times New Roman" w:hAnsi="Arial" w:cs="Arial"/>
          <w:sz w:val="24"/>
          <w:szCs w:val="24"/>
        </w:rPr>
        <w:t xml:space="preserve"> </w:t>
      </w:r>
      <w:r w:rsidRPr="00C572F8">
        <w:rPr>
          <w:rFonts w:ascii="Arial" w:eastAsia="Times New Roman" w:hAnsi="Arial" w:cs="Arial"/>
          <w:color w:val="000000"/>
          <w:sz w:val="24"/>
          <w:szCs w:val="24"/>
        </w:rPr>
        <w:t>puntos), salvo que posean sanciones impuestas en el mismo plazo por organismos y/o registros de proveedores de otras jurisdicciones (Nacional, Provincial, Municipal).</w:t>
      </w:r>
    </w:p>
    <w:p w:rsidR="008E4A7B" w:rsidRPr="00C572F8" w:rsidRDefault="008E4A7B" w:rsidP="00007EA3">
      <w:pPr>
        <w:spacing w:line="360" w:lineRule="auto"/>
        <w:ind w:left="12"/>
        <w:contextualSpacing/>
        <w:jc w:val="both"/>
        <w:rPr>
          <w:rFonts w:ascii="Arial" w:eastAsia="Times New Roman" w:hAnsi="Arial" w:cs="Arial"/>
          <w:color w:val="000000"/>
          <w:sz w:val="24"/>
          <w:szCs w:val="24"/>
        </w:rPr>
      </w:pPr>
      <w:r w:rsidRPr="00C572F8">
        <w:rPr>
          <w:rFonts w:ascii="Arial" w:eastAsia="Times New Roman" w:hAnsi="Arial" w:cs="Arial"/>
          <w:color w:val="000000"/>
          <w:sz w:val="24"/>
          <w:szCs w:val="24"/>
        </w:rPr>
        <w:t xml:space="preserve">Se calificará con </w:t>
      </w:r>
      <w:r w:rsidRPr="00C572F8">
        <w:rPr>
          <w:rFonts w:ascii="Arial" w:eastAsia="Times New Roman" w:hAnsi="Arial" w:cs="Arial"/>
          <w:sz w:val="24"/>
          <w:szCs w:val="24"/>
        </w:rPr>
        <w:t>3</w:t>
      </w:r>
      <w:r w:rsidRPr="00C572F8">
        <w:rPr>
          <w:rFonts w:ascii="Arial" w:eastAsia="Times New Roman" w:hAnsi="Arial" w:cs="Arial"/>
          <w:color w:val="000000"/>
          <w:sz w:val="24"/>
          <w:szCs w:val="24"/>
        </w:rPr>
        <w:t xml:space="preserve"> puntos a los oferentes que posean sanciones de apercibimiento dentro del año calendario anterior a la fecha de apertura de </w:t>
      </w:r>
      <w:r w:rsidRPr="00C572F8">
        <w:rPr>
          <w:rFonts w:ascii="Arial" w:eastAsia="Times New Roman" w:hAnsi="Arial" w:cs="Arial"/>
          <w:color w:val="000000"/>
          <w:sz w:val="24"/>
          <w:szCs w:val="24"/>
        </w:rPr>
        <w:lastRenderedPageBreak/>
        <w:t xml:space="preserve">ofertas, inscriptas en el Registro Único de Proveedores de Mendoza u otros de otra jurisdicción Nacional, Provincial o Municipal. Se calificará también con </w:t>
      </w:r>
      <w:r w:rsidRPr="00C572F8">
        <w:rPr>
          <w:rFonts w:ascii="Arial" w:eastAsia="Times New Roman" w:hAnsi="Arial" w:cs="Arial"/>
          <w:sz w:val="24"/>
          <w:szCs w:val="24"/>
        </w:rPr>
        <w:t>3</w:t>
      </w:r>
      <w:r w:rsidRPr="00C572F8">
        <w:rPr>
          <w:rFonts w:ascii="Arial" w:eastAsia="Times New Roman" w:hAnsi="Arial" w:cs="Arial"/>
          <w:color w:val="000000"/>
          <w:sz w:val="24"/>
          <w:szCs w:val="24"/>
        </w:rPr>
        <w:t xml:space="preserve"> puntos a los oferentes que, no registrando sanciones mediante procedimientos formales, tuvieren antecedentes documentados de prestación “no satisfactoria” del servicio.</w:t>
      </w:r>
    </w:p>
    <w:p w:rsidR="008E4A7B" w:rsidRPr="00C572F8" w:rsidRDefault="008E4A7B" w:rsidP="00007EA3">
      <w:pPr>
        <w:spacing w:line="360" w:lineRule="auto"/>
        <w:ind w:left="12"/>
        <w:contextualSpacing/>
        <w:jc w:val="both"/>
        <w:rPr>
          <w:rFonts w:ascii="Arial" w:eastAsia="Times New Roman" w:hAnsi="Arial" w:cs="Arial"/>
          <w:color w:val="000000"/>
          <w:sz w:val="24"/>
          <w:szCs w:val="24"/>
        </w:rPr>
      </w:pPr>
      <w:r w:rsidRPr="00C572F8">
        <w:rPr>
          <w:rFonts w:ascii="Arial" w:eastAsia="Times New Roman" w:hAnsi="Arial" w:cs="Arial"/>
          <w:color w:val="000000"/>
          <w:sz w:val="24"/>
          <w:szCs w:val="24"/>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rsidR="008E4A7B" w:rsidRPr="00C572F8" w:rsidRDefault="008E4A7B" w:rsidP="00007EA3">
      <w:pPr>
        <w:spacing w:line="360" w:lineRule="auto"/>
        <w:ind w:left="12"/>
        <w:contextualSpacing/>
        <w:jc w:val="both"/>
        <w:rPr>
          <w:rFonts w:ascii="Arial" w:eastAsia="Times New Roman" w:hAnsi="Arial" w:cs="Arial"/>
          <w:color w:val="000000"/>
          <w:sz w:val="24"/>
          <w:szCs w:val="24"/>
        </w:rPr>
      </w:pPr>
      <w:r w:rsidRPr="00C572F8">
        <w:rPr>
          <w:rFonts w:ascii="Arial" w:eastAsia="Times New Roman" w:hAnsi="Arial" w:cs="Arial"/>
          <w:color w:val="000000"/>
          <w:sz w:val="24"/>
          <w:szCs w:val="24"/>
        </w:rPr>
        <w:t>A los efectos de la evaluación se considerará la información publicada por el Registro Único de Proveedores Provincial y demás Organismos que administren dichos datos a nivel Nacional, Provincial y Municipal.</w:t>
      </w:r>
    </w:p>
    <w:p w:rsidR="008E4A7B" w:rsidRPr="00C572F8" w:rsidRDefault="008E4A7B" w:rsidP="00007EA3">
      <w:pPr>
        <w:numPr>
          <w:ilvl w:val="0"/>
          <w:numId w:val="13"/>
        </w:numPr>
        <w:spacing w:line="360" w:lineRule="auto"/>
        <w:ind w:left="372"/>
        <w:jc w:val="both"/>
        <w:rPr>
          <w:rFonts w:ascii="Arial" w:hAnsi="Arial" w:cs="Arial"/>
          <w:sz w:val="24"/>
          <w:szCs w:val="24"/>
        </w:rPr>
      </w:pPr>
      <w:r w:rsidRPr="00C572F8">
        <w:rPr>
          <w:rFonts w:ascii="Arial" w:hAnsi="Arial" w:cs="Arial"/>
          <w:b/>
          <w:sz w:val="24"/>
          <w:szCs w:val="24"/>
        </w:rPr>
        <w:t xml:space="preserve">Comerciales: </w:t>
      </w:r>
      <w:r w:rsidRPr="00C572F8">
        <w:rPr>
          <w:rFonts w:ascii="Arial" w:hAnsi="Arial" w:cs="Arial"/>
          <w:sz w:val="24"/>
          <w:szCs w:val="24"/>
        </w:rPr>
        <w:t>Se otorgará el máximo puntaje previsto (5 puntos), a las ofertas que acrediten el mayor volumen de antecedentes comerciales (monto de ventas o prestación de servicios idénticos o similares a los del objeto de la contratación) que se encuentren fehacientemente documentados y/o certificados por comitentes, dentro de los últimos tres meses anteriores a la publicación de la presente contratación pública. Las demás ofertas serán calificadas con el criterio de proporcionalidad, en función de los antecedentes acompañados.</w:t>
      </w:r>
    </w:p>
    <w:p w:rsidR="00FD289C" w:rsidRPr="00C572F8" w:rsidRDefault="00FD289C" w:rsidP="00FD289C">
      <w:pPr>
        <w:pStyle w:val="Textocomentario"/>
        <w:spacing w:line="360" w:lineRule="auto"/>
        <w:jc w:val="both"/>
        <w:rPr>
          <w:rFonts w:ascii="Arial" w:hAnsi="Arial" w:cs="Arial"/>
          <w:b/>
          <w:sz w:val="24"/>
          <w:szCs w:val="24"/>
        </w:rPr>
      </w:pPr>
      <w:r w:rsidRPr="00C572F8">
        <w:rPr>
          <w:rFonts w:ascii="Arial" w:hAnsi="Arial" w:cs="Arial"/>
          <w:b/>
          <w:sz w:val="24"/>
          <w:szCs w:val="24"/>
        </w:rPr>
        <w:t>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rsidR="008E4A7B" w:rsidRPr="00C572F8" w:rsidRDefault="008E4A7B" w:rsidP="00007EA3">
      <w:pPr>
        <w:pStyle w:val="Prrafodelista"/>
        <w:numPr>
          <w:ilvl w:val="0"/>
          <w:numId w:val="14"/>
        </w:numPr>
        <w:spacing w:line="360" w:lineRule="auto"/>
        <w:ind w:left="12"/>
        <w:jc w:val="both"/>
        <w:rPr>
          <w:rFonts w:ascii="Arial" w:hAnsi="Arial" w:cs="Arial"/>
          <w:sz w:val="24"/>
          <w:szCs w:val="24"/>
        </w:rPr>
      </w:pPr>
      <w:r w:rsidRPr="00C572F8">
        <w:rPr>
          <w:rFonts w:ascii="Arial" w:hAnsi="Arial" w:cs="Arial"/>
          <w:b/>
          <w:sz w:val="24"/>
          <w:szCs w:val="24"/>
          <w:u w:val="single"/>
        </w:rPr>
        <w:t>CALIDAD DEL PRODUCTO</w:t>
      </w:r>
    </w:p>
    <w:p w:rsidR="008E4A7B" w:rsidRPr="00C572F8" w:rsidRDefault="008E4A7B" w:rsidP="00007EA3">
      <w:pPr>
        <w:spacing w:line="360" w:lineRule="auto"/>
        <w:ind w:left="12"/>
        <w:jc w:val="both"/>
        <w:rPr>
          <w:rFonts w:ascii="Arial" w:hAnsi="Arial" w:cs="Arial"/>
          <w:sz w:val="24"/>
          <w:szCs w:val="24"/>
        </w:rPr>
      </w:pPr>
      <w:r w:rsidRPr="00C572F8">
        <w:rPr>
          <w:rFonts w:ascii="Arial" w:hAnsi="Arial" w:cs="Arial"/>
          <w:b/>
          <w:sz w:val="24"/>
          <w:szCs w:val="24"/>
          <w:u w:val="single"/>
        </w:rPr>
        <w:lastRenderedPageBreak/>
        <w:t xml:space="preserve">2.a) Gramaje: </w:t>
      </w:r>
      <w:r w:rsidRPr="00C572F8">
        <w:rPr>
          <w:rFonts w:ascii="Arial" w:hAnsi="Arial" w:cs="Arial"/>
          <w:bCs/>
          <w:sz w:val="24"/>
          <w:szCs w:val="24"/>
        </w:rPr>
        <w:t>Se otorgará el máximo puntaje de (10) puntos</w:t>
      </w:r>
      <w:r w:rsidRPr="00C572F8">
        <w:rPr>
          <w:rFonts w:ascii="Arial" w:hAnsi="Arial" w:cs="Arial"/>
          <w:b/>
          <w:bCs/>
          <w:sz w:val="24"/>
          <w:szCs w:val="24"/>
        </w:rPr>
        <w:t xml:space="preserve"> </w:t>
      </w:r>
      <w:r w:rsidRPr="00C572F8">
        <w:rPr>
          <w:rFonts w:ascii="Arial" w:hAnsi="Arial" w:cs="Arial"/>
          <w:bCs/>
          <w:sz w:val="24"/>
          <w:szCs w:val="24"/>
        </w:rPr>
        <w:t>a las ofertas que presenten mayor gramaje según la clase o tipo de papel solicitado. Las demás ofertas serán puntuadas conforme la regla de la proporcionalidad, en función del gramaje ofrecido.</w:t>
      </w:r>
    </w:p>
    <w:p w:rsidR="008E4A7B" w:rsidRPr="00C572F8" w:rsidRDefault="008E4A7B" w:rsidP="00007EA3">
      <w:pPr>
        <w:spacing w:line="360" w:lineRule="auto"/>
        <w:ind w:left="12"/>
        <w:jc w:val="both"/>
        <w:rPr>
          <w:rFonts w:ascii="Arial" w:hAnsi="Arial" w:cs="Arial"/>
          <w:sz w:val="24"/>
          <w:szCs w:val="24"/>
        </w:rPr>
      </w:pPr>
      <w:r w:rsidRPr="00C572F8">
        <w:rPr>
          <w:rFonts w:ascii="Arial" w:eastAsia="Times New Roman" w:hAnsi="Arial" w:cs="Arial"/>
          <w:color w:val="202124"/>
          <w:sz w:val="24"/>
          <w:szCs w:val="24"/>
          <w:lang w:eastAsia="es-AR"/>
        </w:rPr>
        <w:t>Se sugiere se tomen los siguientes valores como referencia, según el uso o la finalidad del papel a ser utilizado:</w:t>
      </w:r>
    </w:p>
    <w:tbl>
      <w:tblPr>
        <w:tblW w:w="7855" w:type="dxa"/>
        <w:tblInd w:w="-708" w:type="dxa"/>
        <w:tblCellMar>
          <w:top w:w="15" w:type="dxa"/>
          <w:left w:w="15" w:type="dxa"/>
          <w:bottom w:w="15" w:type="dxa"/>
          <w:right w:w="15" w:type="dxa"/>
        </w:tblCellMar>
        <w:tblLook w:val="04A0" w:firstRow="1" w:lastRow="0" w:firstColumn="1" w:lastColumn="0" w:noHBand="0" w:noVBand="1"/>
      </w:tblPr>
      <w:tblGrid>
        <w:gridCol w:w="2808"/>
        <w:gridCol w:w="5047"/>
      </w:tblGrid>
      <w:tr w:rsidR="008E4A7B" w:rsidRPr="00C572F8" w:rsidTr="00007EA3">
        <w:trPr>
          <w:trHeight w:val="384"/>
        </w:trPr>
        <w:tc>
          <w:tcPr>
            <w:tcW w:w="0" w:type="auto"/>
            <w:tcMar>
              <w:top w:w="120" w:type="dxa"/>
              <w:left w:w="0" w:type="dxa"/>
              <w:bottom w:w="120" w:type="dxa"/>
              <w:right w:w="150" w:type="dxa"/>
            </w:tcMar>
            <w:hideMark/>
          </w:tcPr>
          <w:p w:rsidR="008E4A7B" w:rsidRPr="00C572F8" w:rsidRDefault="008E4A7B" w:rsidP="00007EA3">
            <w:pPr>
              <w:spacing w:after="0" w:line="360" w:lineRule="auto"/>
              <w:jc w:val="both"/>
              <w:rPr>
                <w:rFonts w:ascii="Arial" w:eastAsia="Times New Roman" w:hAnsi="Arial" w:cs="Arial"/>
                <w:b/>
                <w:bCs/>
                <w:color w:val="202124"/>
                <w:sz w:val="24"/>
                <w:szCs w:val="24"/>
                <w:lang w:eastAsia="es-AR"/>
              </w:rPr>
            </w:pPr>
            <w:r w:rsidRPr="00C572F8">
              <w:rPr>
                <w:rFonts w:ascii="Arial" w:eastAsia="Times New Roman" w:hAnsi="Arial" w:cs="Arial"/>
                <w:b/>
                <w:bCs/>
                <w:color w:val="202124"/>
                <w:sz w:val="24"/>
                <w:szCs w:val="24"/>
                <w:lang w:eastAsia="es-AR"/>
              </w:rPr>
              <w:t>Gramaje en g/m²</w:t>
            </w:r>
          </w:p>
        </w:tc>
        <w:tc>
          <w:tcPr>
            <w:tcW w:w="0" w:type="auto"/>
            <w:tcMar>
              <w:top w:w="120" w:type="dxa"/>
              <w:left w:w="150" w:type="dxa"/>
              <w:bottom w:w="120" w:type="dxa"/>
              <w:right w:w="150" w:type="dxa"/>
            </w:tcMar>
            <w:hideMark/>
          </w:tcPr>
          <w:p w:rsidR="008E4A7B" w:rsidRPr="00C572F8" w:rsidRDefault="008E4A7B" w:rsidP="00007EA3">
            <w:pPr>
              <w:spacing w:after="0" w:line="360" w:lineRule="auto"/>
              <w:jc w:val="both"/>
              <w:rPr>
                <w:rFonts w:ascii="Arial" w:eastAsia="Times New Roman" w:hAnsi="Arial" w:cs="Arial"/>
                <w:b/>
                <w:bCs/>
                <w:color w:val="202124"/>
                <w:sz w:val="24"/>
                <w:szCs w:val="24"/>
                <w:lang w:eastAsia="es-AR"/>
              </w:rPr>
            </w:pPr>
            <w:r w:rsidRPr="00C572F8">
              <w:rPr>
                <w:rFonts w:ascii="Arial" w:eastAsia="Times New Roman" w:hAnsi="Arial" w:cs="Arial"/>
                <w:b/>
                <w:bCs/>
                <w:color w:val="202124"/>
                <w:sz w:val="24"/>
                <w:szCs w:val="24"/>
                <w:lang w:eastAsia="es-AR"/>
              </w:rPr>
              <w:t>Tipo de papel</w:t>
            </w:r>
          </w:p>
        </w:tc>
      </w:tr>
      <w:tr w:rsidR="008E4A7B" w:rsidRPr="00C572F8" w:rsidTr="00007EA3">
        <w:trPr>
          <w:trHeight w:val="384"/>
        </w:trPr>
        <w:tc>
          <w:tcPr>
            <w:tcW w:w="0" w:type="auto"/>
            <w:tcMar>
              <w:top w:w="120" w:type="dxa"/>
              <w:left w:w="0" w:type="dxa"/>
              <w:bottom w:w="120" w:type="dxa"/>
              <w:right w:w="150" w:type="dxa"/>
            </w:tcMar>
            <w:vAlign w:val="center"/>
            <w:hideMark/>
          </w:tcPr>
          <w:p w:rsidR="008E4A7B" w:rsidRPr="00C572F8" w:rsidRDefault="008E4A7B" w:rsidP="00007EA3">
            <w:pPr>
              <w:spacing w:after="0" w:line="360" w:lineRule="auto"/>
              <w:jc w:val="both"/>
              <w:rPr>
                <w:rFonts w:ascii="Arial" w:eastAsia="Times New Roman" w:hAnsi="Arial" w:cs="Arial"/>
                <w:sz w:val="24"/>
                <w:szCs w:val="24"/>
                <w:lang w:eastAsia="es-AR"/>
              </w:rPr>
            </w:pPr>
            <w:r w:rsidRPr="00C572F8">
              <w:rPr>
                <w:rFonts w:ascii="Arial" w:eastAsia="Times New Roman" w:hAnsi="Arial" w:cs="Arial"/>
                <w:sz w:val="24"/>
                <w:szCs w:val="24"/>
                <w:lang w:eastAsia="es-AR"/>
              </w:rPr>
              <w:t>70-90 gr.</w:t>
            </w:r>
          </w:p>
        </w:tc>
        <w:tc>
          <w:tcPr>
            <w:tcW w:w="0" w:type="auto"/>
            <w:tcMar>
              <w:top w:w="120" w:type="dxa"/>
              <w:left w:w="150" w:type="dxa"/>
              <w:bottom w:w="120" w:type="dxa"/>
              <w:right w:w="150" w:type="dxa"/>
            </w:tcMar>
            <w:vAlign w:val="center"/>
            <w:hideMark/>
          </w:tcPr>
          <w:p w:rsidR="008E4A7B" w:rsidRPr="00C572F8" w:rsidRDefault="008E4A7B" w:rsidP="00007EA3">
            <w:pPr>
              <w:spacing w:after="0" w:line="360" w:lineRule="auto"/>
              <w:jc w:val="both"/>
              <w:rPr>
                <w:rFonts w:ascii="Arial" w:eastAsia="Times New Roman" w:hAnsi="Arial" w:cs="Arial"/>
                <w:sz w:val="24"/>
                <w:szCs w:val="24"/>
                <w:lang w:eastAsia="es-AR"/>
              </w:rPr>
            </w:pPr>
            <w:r w:rsidRPr="00C572F8">
              <w:rPr>
                <w:rFonts w:ascii="Arial" w:eastAsia="Times New Roman" w:hAnsi="Arial" w:cs="Arial"/>
                <w:sz w:val="24"/>
                <w:szCs w:val="24"/>
                <w:lang w:eastAsia="es-AR"/>
              </w:rPr>
              <w:t>Papel delgado de uso cotidiano</w:t>
            </w:r>
          </w:p>
        </w:tc>
      </w:tr>
      <w:tr w:rsidR="008E4A7B" w:rsidRPr="00C572F8" w:rsidTr="00007EA3">
        <w:trPr>
          <w:trHeight w:val="384"/>
        </w:trPr>
        <w:tc>
          <w:tcPr>
            <w:tcW w:w="0" w:type="auto"/>
            <w:tcMar>
              <w:top w:w="120" w:type="dxa"/>
              <w:left w:w="0" w:type="dxa"/>
              <w:bottom w:w="120" w:type="dxa"/>
              <w:right w:w="150" w:type="dxa"/>
            </w:tcMar>
            <w:vAlign w:val="center"/>
            <w:hideMark/>
          </w:tcPr>
          <w:p w:rsidR="008E4A7B" w:rsidRPr="00C572F8" w:rsidRDefault="008E4A7B" w:rsidP="00007EA3">
            <w:pPr>
              <w:spacing w:after="0" w:line="360" w:lineRule="auto"/>
              <w:jc w:val="both"/>
              <w:rPr>
                <w:rFonts w:ascii="Arial" w:eastAsia="Times New Roman" w:hAnsi="Arial" w:cs="Arial"/>
                <w:sz w:val="24"/>
                <w:szCs w:val="24"/>
                <w:lang w:eastAsia="es-AR"/>
              </w:rPr>
            </w:pPr>
            <w:r w:rsidRPr="00C572F8">
              <w:rPr>
                <w:rFonts w:ascii="Arial" w:eastAsia="Times New Roman" w:hAnsi="Arial" w:cs="Arial"/>
                <w:sz w:val="24"/>
                <w:szCs w:val="24"/>
                <w:lang w:eastAsia="es-AR"/>
              </w:rPr>
              <w:t>90-120 gr.</w:t>
            </w:r>
          </w:p>
        </w:tc>
        <w:tc>
          <w:tcPr>
            <w:tcW w:w="0" w:type="auto"/>
            <w:tcMar>
              <w:top w:w="120" w:type="dxa"/>
              <w:left w:w="150" w:type="dxa"/>
              <w:bottom w:w="120" w:type="dxa"/>
              <w:right w:w="150" w:type="dxa"/>
            </w:tcMar>
            <w:vAlign w:val="center"/>
            <w:hideMark/>
          </w:tcPr>
          <w:p w:rsidR="008E4A7B" w:rsidRPr="00C572F8" w:rsidRDefault="008E4A7B" w:rsidP="00007EA3">
            <w:pPr>
              <w:spacing w:after="0" w:line="360" w:lineRule="auto"/>
              <w:jc w:val="both"/>
              <w:rPr>
                <w:rFonts w:ascii="Arial" w:eastAsia="Times New Roman" w:hAnsi="Arial" w:cs="Arial"/>
                <w:sz w:val="24"/>
                <w:szCs w:val="24"/>
                <w:lang w:eastAsia="es-AR"/>
              </w:rPr>
            </w:pPr>
            <w:r w:rsidRPr="00C572F8">
              <w:rPr>
                <w:rFonts w:ascii="Arial" w:eastAsia="Times New Roman" w:hAnsi="Arial" w:cs="Arial"/>
                <w:sz w:val="24"/>
                <w:szCs w:val="24"/>
                <w:lang w:eastAsia="es-AR"/>
              </w:rPr>
              <w:t>Papel con más cuerpo y grosor</w:t>
            </w:r>
          </w:p>
        </w:tc>
      </w:tr>
      <w:tr w:rsidR="008E4A7B" w:rsidRPr="00C572F8" w:rsidTr="00007EA3">
        <w:trPr>
          <w:trHeight w:val="384"/>
        </w:trPr>
        <w:tc>
          <w:tcPr>
            <w:tcW w:w="0" w:type="auto"/>
            <w:tcMar>
              <w:top w:w="120" w:type="dxa"/>
              <w:left w:w="0" w:type="dxa"/>
              <w:bottom w:w="120" w:type="dxa"/>
              <w:right w:w="150" w:type="dxa"/>
            </w:tcMar>
            <w:vAlign w:val="center"/>
            <w:hideMark/>
          </w:tcPr>
          <w:p w:rsidR="008E4A7B" w:rsidRPr="00C572F8" w:rsidRDefault="008E4A7B" w:rsidP="00007EA3">
            <w:pPr>
              <w:spacing w:after="0" w:line="360" w:lineRule="auto"/>
              <w:jc w:val="both"/>
              <w:rPr>
                <w:rFonts w:ascii="Arial" w:eastAsia="Times New Roman" w:hAnsi="Arial" w:cs="Arial"/>
                <w:sz w:val="24"/>
                <w:szCs w:val="24"/>
                <w:lang w:eastAsia="es-AR"/>
              </w:rPr>
            </w:pPr>
            <w:r w:rsidRPr="00C572F8">
              <w:rPr>
                <w:rFonts w:ascii="Arial" w:eastAsia="Times New Roman" w:hAnsi="Arial" w:cs="Arial"/>
                <w:sz w:val="24"/>
                <w:szCs w:val="24"/>
                <w:lang w:eastAsia="es-AR"/>
              </w:rPr>
              <w:t>120-170 gr.</w:t>
            </w:r>
          </w:p>
        </w:tc>
        <w:tc>
          <w:tcPr>
            <w:tcW w:w="0" w:type="auto"/>
            <w:tcMar>
              <w:top w:w="120" w:type="dxa"/>
              <w:left w:w="150" w:type="dxa"/>
              <w:bottom w:w="120" w:type="dxa"/>
              <w:right w:w="150" w:type="dxa"/>
            </w:tcMar>
            <w:vAlign w:val="center"/>
            <w:hideMark/>
          </w:tcPr>
          <w:p w:rsidR="008E4A7B" w:rsidRPr="00C572F8" w:rsidRDefault="008E4A7B" w:rsidP="00007EA3">
            <w:pPr>
              <w:spacing w:after="0" w:line="360" w:lineRule="auto"/>
              <w:jc w:val="both"/>
              <w:rPr>
                <w:rFonts w:ascii="Arial" w:eastAsia="Times New Roman" w:hAnsi="Arial" w:cs="Arial"/>
                <w:sz w:val="24"/>
                <w:szCs w:val="24"/>
                <w:lang w:eastAsia="es-AR"/>
              </w:rPr>
            </w:pPr>
            <w:r w:rsidRPr="00C572F8">
              <w:rPr>
                <w:rFonts w:ascii="Arial" w:eastAsia="Times New Roman" w:hAnsi="Arial" w:cs="Arial"/>
                <w:sz w:val="24"/>
                <w:szCs w:val="24"/>
                <w:lang w:eastAsia="es-AR"/>
              </w:rPr>
              <w:t>Papel grueso o cartulina ligera</w:t>
            </w:r>
          </w:p>
        </w:tc>
      </w:tr>
      <w:tr w:rsidR="008E4A7B" w:rsidRPr="00C572F8" w:rsidTr="00007EA3">
        <w:trPr>
          <w:trHeight w:val="384"/>
        </w:trPr>
        <w:tc>
          <w:tcPr>
            <w:tcW w:w="0" w:type="auto"/>
            <w:tcMar>
              <w:top w:w="120" w:type="dxa"/>
              <w:left w:w="0" w:type="dxa"/>
              <w:bottom w:w="120" w:type="dxa"/>
              <w:right w:w="150" w:type="dxa"/>
            </w:tcMar>
            <w:vAlign w:val="center"/>
            <w:hideMark/>
          </w:tcPr>
          <w:p w:rsidR="008E4A7B" w:rsidRPr="00C572F8" w:rsidRDefault="008E4A7B" w:rsidP="00007EA3">
            <w:pPr>
              <w:spacing w:after="0" w:line="360" w:lineRule="auto"/>
              <w:jc w:val="both"/>
              <w:rPr>
                <w:rFonts w:ascii="Arial" w:eastAsia="Times New Roman" w:hAnsi="Arial" w:cs="Arial"/>
                <w:sz w:val="24"/>
                <w:szCs w:val="24"/>
                <w:lang w:eastAsia="es-AR"/>
              </w:rPr>
            </w:pPr>
            <w:r w:rsidRPr="00C572F8">
              <w:rPr>
                <w:rFonts w:ascii="Arial" w:eastAsia="Times New Roman" w:hAnsi="Arial" w:cs="Arial"/>
                <w:bCs/>
                <w:sz w:val="24"/>
                <w:szCs w:val="24"/>
                <w:lang w:eastAsia="es-AR"/>
              </w:rPr>
              <w:t>170-260 gr</w:t>
            </w:r>
            <w:r w:rsidRPr="00C572F8">
              <w:rPr>
                <w:rFonts w:ascii="Arial" w:eastAsia="Times New Roman" w:hAnsi="Arial" w:cs="Arial"/>
                <w:sz w:val="24"/>
                <w:szCs w:val="24"/>
                <w:lang w:eastAsia="es-AR"/>
              </w:rPr>
              <w:t>.</w:t>
            </w:r>
          </w:p>
        </w:tc>
        <w:tc>
          <w:tcPr>
            <w:tcW w:w="0" w:type="auto"/>
            <w:tcMar>
              <w:top w:w="120" w:type="dxa"/>
              <w:left w:w="150" w:type="dxa"/>
              <w:bottom w:w="120" w:type="dxa"/>
              <w:right w:w="150" w:type="dxa"/>
            </w:tcMar>
            <w:vAlign w:val="center"/>
            <w:hideMark/>
          </w:tcPr>
          <w:p w:rsidR="008E4A7B" w:rsidRPr="00C572F8" w:rsidRDefault="008E4A7B" w:rsidP="00007EA3">
            <w:pPr>
              <w:spacing w:after="0" w:line="360" w:lineRule="auto"/>
              <w:jc w:val="both"/>
              <w:rPr>
                <w:rFonts w:ascii="Arial" w:eastAsia="Times New Roman" w:hAnsi="Arial" w:cs="Arial"/>
                <w:sz w:val="24"/>
                <w:szCs w:val="24"/>
                <w:lang w:eastAsia="es-AR"/>
              </w:rPr>
            </w:pPr>
            <w:r w:rsidRPr="00C572F8">
              <w:rPr>
                <w:rFonts w:ascii="Arial" w:eastAsia="Times New Roman" w:hAnsi="Arial" w:cs="Arial"/>
                <w:sz w:val="24"/>
                <w:szCs w:val="24"/>
                <w:lang w:eastAsia="es-AR"/>
              </w:rPr>
              <w:t>Papel de alto gramaje</w:t>
            </w:r>
          </w:p>
        </w:tc>
      </w:tr>
    </w:tbl>
    <w:p w:rsidR="008E4A7B" w:rsidRPr="00C572F8" w:rsidRDefault="008E4A7B" w:rsidP="00007EA3">
      <w:pPr>
        <w:pStyle w:val="Prrafodelista"/>
        <w:spacing w:line="360" w:lineRule="auto"/>
        <w:ind w:left="12"/>
        <w:jc w:val="both"/>
        <w:rPr>
          <w:rFonts w:ascii="Arial" w:hAnsi="Arial" w:cs="Arial"/>
          <w:b/>
          <w:sz w:val="24"/>
          <w:szCs w:val="24"/>
          <w:u w:val="single"/>
        </w:rPr>
      </w:pPr>
    </w:p>
    <w:p w:rsidR="008E4A7B" w:rsidRPr="00C572F8" w:rsidRDefault="008E4A7B" w:rsidP="00007EA3">
      <w:pPr>
        <w:pStyle w:val="Prrafodelista"/>
        <w:numPr>
          <w:ilvl w:val="0"/>
          <w:numId w:val="9"/>
        </w:numPr>
        <w:pBdr>
          <w:top w:val="nil"/>
          <w:left w:val="nil"/>
          <w:bottom w:val="nil"/>
          <w:right w:val="nil"/>
          <w:between w:val="nil"/>
        </w:pBdr>
        <w:spacing w:after="0" w:line="360" w:lineRule="auto"/>
        <w:ind w:left="12"/>
        <w:jc w:val="both"/>
        <w:rPr>
          <w:rFonts w:ascii="Arial" w:eastAsia="Times New Roman" w:hAnsi="Arial" w:cs="Arial"/>
          <w:color w:val="000000"/>
          <w:sz w:val="24"/>
          <w:szCs w:val="24"/>
        </w:rPr>
      </w:pPr>
      <w:r w:rsidRPr="00C572F8">
        <w:rPr>
          <w:rFonts w:ascii="Arial" w:hAnsi="Arial" w:cs="Arial"/>
          <w:b/>
          <w:sz w:val="24"/>
          <w:szCs w:val="24"/>
          <w:u w:val="single"/>
        </w:rPr>
        <w:t xml:space="preserve">PLAZO: </w:t>
      </w:r>
      <w:r w:rsidRPr="00C572F8">
        <w:rPr>
          <w:rFonts w:ascii="Arial" w:eastAsia="Times New Roman" w:hAnsi="Arial" w:cs="Arial"/>
          <w:color w:val="000000"/>
          <w:sz w:val="24"/>
          <w:szCs w:val="24"/>
        </w:rPr>
        <w:t>Teniendo en cuenta el plazo máximo de cumplimiento estipulado por el Pliego de Condiciones Particulares respecto de la obligación principal inherente al objeto de la contratación (la entrega de los bienes), se calificará con el máximo puntaje previsto (10 puntos) a la oferta que proponga dicho cumplimiento en el menor plazo cierto determinado por el oferente (oferta superadora). Las demás ofertas serán calificadas conforme el criterio de la proporcionalidad.</w:t>
      </w:r>
    </w:p>
    <w:p w:rsidR="008E4A7B" w:rsidRPr="00C572F8" w:rsidRDefault="008E4A7B" w:rsidP="00007EA3">
      <w:pPr>
        <w:pBdr>
          <w:top w:val="nil"/>
          <w:left w:val="nil"/>
          <w:bottom w:val="nil"/>
          <w:right w:val="nil"/>
          <w:between w:val="nil"/>
        </w:pBdr>
        <w:spacing w:after="0" w:line="360" w:lineRule="auto"/>
        <w:ind w:left="12"/>
        <w:contextualSpacing/>
        <w:jc w:val="both"/>
        <w:rPr>
          <w:rFonts w:ascii="Arial" w:eastAsia="Times New Roman" w:hAnsi="Arial" w:cs="Arial"/>
          <w:b/>
          <w:color w:val="000000"/>
          <w:sz w:val="24"/>
          <w:szCs w:val="24"/>
        </w:rPr>
      </w:pPr>
      <w:r w:rsidRPr="00C572F8">
        <w:rPr>
          <w:rFonts w:ascii="Arial" w:eastAsia="Times New Roman" w:hAnsi="Arial" w:cs="Arial"/>
          <w:b/>
          <w:color w:val="000000"/>
          <w:sz w:val="24"/>
          <w:szCs w:val="24"/>
        </w:rPr>
        <w:t>ATENCIÓN: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rsidR="008E4A7B" w:rsidRPr="00C572F8" w:rsidRDefault="008E4A7B" w:rsidP="00007EA3">
      <w:pPr>
        <w:spacing w:line="360" w:lineRule="auto"/>
        <w:jc w:val="both"/>
        <w:rPr>
          <w:rFonts w:ascii="Arial" w:hAnsi="Arial" w:cs="Arial"/>
          <w:b/>
          <w:sz w:val="24"/>
          <w:szCs w:val="24"/>
          <w:u w:val="single"/>
        </w:rPr>
      </w:pPr>
    </w:p>
    <w:p w:rsidR="006E74B8" w:rsidRPr="00C572F8" w:rsidRDefault="008E4A7B" w:rsidP="00007EA3">
      <w:pPr>
        <w:pStyle w:val="Prrafodelista"/>
        <w:numPr>
          <w:ilvl w:val="0"/>
          <w:numId w:val="9"/>
        </w:numPr>
        <w:spacing w:line="360" w:lineRule="auto"/>
        <w:ind w:left="12"/>
        <w:jc w:val="both"/>
        <w:rPr>
          <w:rFonts w:ascii="Arial" w:hAnsi="Arial" w:cs="Arial"/>
          <w:b/>
          <w:sz w:val="24"/>
          <w:szCs w:val="24"/>
          <w:u w:val="single"/>
        </w:rPr>
      </w:pPr>
      <w:r w:rsidRPr="00C572F8">
        <w:rPr>
          <w:rFonts w:ascii="Arial" w:hAnsi="Arial" w:cs="Arial"/>
          <w:b/>
          <w:sz w:val="24"/>
          <w:szCs w:val="24"/>
          <w:u w:val="single"/>
        </w:rPr>
        <w:t xml:space="preserve">CELULOSA ALTERNATIVA: </w:t>
      </w:r>
      <w:r w:rsidRPr="00C572F8">
        <w:rPr>
          <w:rFonts w:ascii="Arial" w:hAnsi="Arial" w:cs="Arial"/>
          <w:sz w:val="24"/>
          <w:szCs w:val="24"/>
        </w:rPr>
        <w:t xml:space="preserve">Obtendrá el puntaje 10 puntos la oferta que acredite utilizar algún tipo de </w:t>
      </w:r>
      <w:r w:rsidR="006E74B8" w:rsidRPr="00C572F8">
        <w:rPr>
          <w:rFonts w:ascii="Arial" w:hAnsi="Arial" w:cs="Arial"/>
          <w:sz w:val="24"/>
          <w:szCs w:val="24"/>
        </w:rPr>
        <w:t xml:space="preserve">fibra </w:t>
      </w:r>
      <w:r w:rsidRPr="00C572F8">
        <w:rPr>
          <w:rFonts w:ascii="Arial" w:hAnsi="Arial" w:cs="Arial"/>
          <w:sz w:val="24"/>
          <w:szCs w:val="24"/>
        </w:rPr>
        <w:t>celulosa alternativa</w:t>
      </w:r>
      <w:r w:rsidR="006E74B8" w:rsidRPr="00C572F8">
        <w:rPr>
          <w:rFonts w:ascii="Arial" w:hAnsi="Arial" w:cs="Arial"/>
          <w:sz w:val="24"/>
          <w:szCs w:val="24"/>
        </w:rPr>
        <w:t>, por ejemplo: sello YUNGAS</w:t>
      </w:r>
      <w:r w:rsidRPr="00C572F8">
        <w:rPr>
          <w:rFonts w:ascii="Arial" w:hAnsi="Arial" w:cs="Arial"/>
          <w:sz w:val="24"/>
          <w:szCs w:val="24"/>
        </w:rPr>
        <w:t>. El proveedor que no acredite la utilización de algún tipo de ma</w:t>
      </w:r>
      <w:r w:rsidR="000D629F" w:rsidRPr="00C572F8">
        <w:rPr>
          <w:rFonts w:ascii="Arial" w:hAnsi="Arial" w:cs="Arial"/>
          <w:sz w:val="24"/>
          <w:szCs w:val="24"/>
        </w:rPr>
        <w:t>terial antes mencionado, se calificará sin puntaje.</w:t>
      </w:r>
    </w:p>
    <w:p w:rsidR="000D629F" w:rsidRPr="00C572F8" w:rsidRDefault="000D629F" w:rsidP="00007EA3">
      <w:pPr>
        <w:pStyle w:val="Prrafodelista"/>
        <w:spacing w:line="360" w:lineRule="auto"/>
        <w:ind w:left="12"/>
        <w:jc w:val="both"/>
        <w:rPr>
          <w:rFonts w:ascii="Arial" w:hAnsi="Arial" w:cs="Arial"/>
          <w:b/>
          <w:sz w:val="24"/>
          <w:szCs w:val="24"/>
          <w:u w:val="single"/>
        </w:rPr>
      </w:pPr>
    </w:p>
    <w:p w:rsidR="008E4A7B" w:rsidRPr="00C572F8" w:rsidRDefault="008E4A7B" w:rsidP="00007EA3">
      <w:pPr>
        <w:pStyle w:val="Prrafodelista"/>
        <w:numPr>
          <w:ilvl w:val="0"/>
          <w:numId w:val="9"/>
        </w:numPr>
        <w:spacing w:line="360" w:lineRule="auto"/>
        <w:ind w:left="12"/>
        <w:jc w:val="both"/>
        <w:rPr>
          <w:rFonts w:ascii="Arial" w:hAnsi="Arial" w:cs="Arial"/>
          <w:b/>
          <w:sz w:val="24"/>
          <w:szCs w:val="24"/>
          <w:u w:val="single"/>
        </w:rPr>
      </w:pPr>
      <w:r w:rsidRPr="00C572F8">
        <w:rPr>
          <w:rFonts w:ascii="Arial" w:eastAsia="Times New Roman" w:hAnsi="Arial" w:cs="Arial"/>
          <w:b/>
          <w:color w:val="000000"/>
          <w:sz w:val="24"/>
          <w:szCs w:val="24"/>
          <w:u w:val="single"/>
        </w:rPr>
        <w:lastRenderedPageBreak/>
        <w:t>ACREDITACION ODS s/LEY 9193</w:t>
      </w:r>
      <w:r w:rsidRPr="00C572F8">
        <w:rPr>
          <w:rFonts w:ascii="Arial" w:eastAsia="Times New Roman" w:hAnsi="Arial" w:cs="Arial"/>
          <w:color w:val="000000"/>
          <w:sz w:val="24"/>
          <w:szCs w:val="24"/>
        </w:rPr>
        <w:t xml:space="preserve">: Para la presente licitación, se considera relevante la evaluación del desempeño empresario de los oferentes, a la luz de las metas de los Objetivos de Desarrollo Sostenible del Pacto Global de las Naciones Unidas (ver  </w:t>
      </w:r>
      <w:hyperlink r:id="rId5">
        <w:r w:rsidRPr="00C572F8">
          <w:rPr>
            <w:rFonts w:ascii="Arial" w:eastAsia="Times New Roman" w:hAnsi="Arial" w:cs="Arial"/>
            <w:color w:val="0000FF"/>
            <w:sz w:val="24"/>
            <w:szCs w:val="24"/>
            <w:u w:val="single"/>
          </w:rPr>
          <w:t>https://www.un.org/sustainabledevelopment/es/objetivos-de-desarrollo-sostenible/</w:t>
        </w:r>
      </w:hyperlink>
      <w:r w:rsidRPr="00C572F8">
        <w:rPr>
          <w:rFonts w:ascii="Arial" w:eastAsia="Times New Roman" w:hAnsi="Arial" w:cs="Arial"/>
          <w:color w:val="000000"/>
          <w:sz w:val="24"/>
          <w:szCs w:val="24"/>
        </w:rPr>
        <w:t>).</w:t>
      </w:r>
    </w:p>
    <w:p w:rsidR="008E4A7B" w:rsidRPr="00C572F8" w:rsidRDefault="008E4A7B" w:rsidP="00007EA3">
      <w:pPr>
        <w:spacing w:before="2" w:after="0" w:line="360" w:lineRule="auto"/>
        <w:ind w:left="1"/>
        <w:jc w:val="both"/>
        <w:rPr>
          <w:rFonts w:ascii="Arial" w:eastAsia="Times New Roman" w:hAnsi="Arial" w:cs="Arial"/>
          <w:color w:val="000000"/>
          <w:sz w:val="24"/>
          <w:szCs w:val="24"/>
        </w:rPr>
      </w:pPr>
      <w:r w:rsidRPr="00C572F8">
        <w:rPr>
          <w:rFonts w:ascii="Arial" w:eastAsia="Times New Roman" w:hAnsi="Arial" w:cs="Arial"/>
          <w:color w:val="000000"/>
          <w:sz w:val="24"/>
          <w:szCs w:val="24"/>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6">
        <w:r w:rsidRPr="00C572F8">
          <w:rPr>
            <w:rFonts w:ascii="Arial" w:eastAsia="Times New Roman" w:hAnsi="Arial" w:cs="Arial"/>
            <w:color w:val="0000FF"/>
            <w:sz w:val="24"/>
            <w:szCs w:val="24"/>
            <w:u w:val="single"/>
          </w:rPr>
          <w:t>https://www.mendoza.gov.ar/compras/compras-publicas-sustentables/</w:t>
        </w:r>
      </w:hyperlink>
      <w:r w:rsidRPr="00C572F8">
        <w:rPr>
          <w:rFonts w:ascii="Arial" w:eastAsia="Times New Roman" w:hAnsi="Arial" w:cs="Arial"/>
          <w:color w:val="000000"/>
          <w:sz w:val="24"/>
          <w:szCs w:val="24"/>
        </w:rPr>
        <w:t xml:space="preserve">). A este efecto, se informan los siguientes ponderadores de calificación del desempeño empresario sustentable, adoptados por la Guía Elemental del Programa de Compras Sustentables de la Administración Provincial (ver: </w:t>
      </w:r>
      <w:hyperlink r:id="rId7">
        <w:r w:rsidRPr="00C572F8">
          <w:rPr>
            <w:rFonts w:ascii="Arial" w:eastAsia="Times New Roman" w:hAnsi="Arial" w:cs="Arial"/>
            <w:color w:val="0000FF"/>
            <w:sz w:val="24"/>
            <w:szCs w:val="24"/>
            <w:u w:val="single"/>
          </w:rPr>
          <w:t>https://www.mendoza.gov.ar/compras/compras-publicas-sustentables/</w:t>
        </w:r>
      </w:hyperlink>
      <w:r w:rsidRPr="00C572F8">
        <w:rPr>
          <w:rFonts w:ascii="Arial" w:eastAsia="Times New Roman" w:hAnsi="Arial" w:cs="Arial"/>
          <w:color w:val="000000"/>
          <w:sz w:val="24"/>
          <w:szCs w:val="24"/>
        </w:rPr>
        <w:t>)</w:t>
      </w:r>
    </w:p>
    <w:p w:rsidR="008E4A7B" w:rsidRPr="00C572F8" w:rsidRDefault="008E4A7B" w:rsidP="00007EA3">
      <w:pPr>
        <w:pStyle w:val="Prrafodelista"/>
        <w:spacing w:line="360" w:lineRule="auto"/>
        <w:ind w:left="12"/>
        <w:jc w:val="both"/>
        <w:rPr>
          <w:rFonts w:ascii="Arial" w:hAnsi="Arial" w:cs="Arial"/>
          <w:b/>
          <w:sz w:val="24"/>
          <w:szCs w:val="24"/>
          <w:u w:val="single"/>
        </w:rPr>
      </w:pPr>
    </w:p>
    <w:p w:rsidR="008E4A7B" w:rsidRPr="00C572F8" w:rsidRDefault="008E4A7B" w:rsidP="00007EA3">
      <w:pPr>
        <w:pStyle w:val="Prrafodelista"/>
        <w:numPr>
          <w:ilvl w:val="0"/>
          <w:numId w:val="9"/>
        </w:numPr>
        <w:spacing w:line="360" w:lineRule="auto"/>
        <w:ind w:left="12"/>
        <w:jc w:val="both"/>
        <w:rPr>
          <w:rFonts w:ascii="Arial" w:hAnsi="Arial" w:cs="Arial"/>
          <w:b/>
          <w:sz w:val="24"/>
          <w:szCs w:val="24"/>
          <w:u w:val="single"/>
        </w:rPr>
      </w:pPr>
      <w:r w:rsidRPr="00C572F8">
        <w:rPr>
          <w:rFonts w:ascii="Arial" w:hAnsi="Arial" w:cs="Arial"/>
          <w:b/>
          <w:sz w:val="24"/>
          <w:szCs w:val="24"/>
          <w:u w:val="single"/>
        </w:rPr>
        <w:t xml:space="preserve">OFERTA ECONÓMICA PRECIO: </w:t>
      </w:r>
      <w:r w:rsidRPr="00C572F8">
        <w:rPr>
          <w:rFonts w:ascii="Arial" w:hAnsi="Arial" w:cs="Arial"/>
          <w:sz w:val="24"/>
          <w:szCs w:val="24"/>
        </w:rPr>
        <w:t xml:space="preserve">la oferta que proponga la cotización más económica, obtendrá </w:t>
      </w:r>
      <w:r w:rsidRPr="00C572F8">
        <w:rPr>
          <w:rFonts w:ascii="Arial" w:hAnsi="Arial" w:cs="Arial"/>
          <w:b/>
          <w:bCs/>
          <w:sz w:val="24"/>
          <w:szCs w:val="24"/>
        </w:rPr>
        <w:t>el máximo puntaje 50 (cincuenta) puntos</w:t>
      </w:r>
      <w:r w:rsidRPr="00C572F8">
        <w:rPr>
          <w:rFonts w:ascii="Arial" w:hAnsi="Arial" w:cs="Arial"/>
          <w:sz w:val="24"/>
          <w:szCs w:val="24"/>
        </w:rPr>
        <w:t>. El resto de las ofertas, será evaluado conforme a la regla de la proporcionalidad.</w:t>
      </w:r>
    </w:p>
    <w:p w:rsidR="000D629F" w:rsidRPr="00C572F8" w:rsidRDefault="000D629F" w:rsidP="00007EA3">
      <w:pPr>
        <w:pStyle w:val="Prrafodelista"/>
        <w:spacing w:line="360" w:lineRule="auto"/>
        <w:ind w:left="12"/>
        <w:jc w:val="both"/>
        <w:rPr>
          <w:rFonts w:ascii="Arial" w:hAnsi="Arial" w:cs="Arial"/>
          <w:b/>
          <w:sz w:val="24"/>
          <w:szCs w:val="24"/>
          <w:u w:val="single"/>
        </w:rPr>
      </w:pPr>
    </w:p>
    <w:p w:rsidR="007958BD" w:rsidRPr="00C572F8" w:rsidRDefault="007958BD" w:rsidP="00007EA3">
      <w:pPr>
        <w:spacing w:line="360" w:lineRule="auto"/>
        <w:jc w:val="both"/>
        <w:rPr>
          <w:rFonts w:ascii="Arial" w:hAnsi="Arial" w:cs="Arial"/>
          <w:sz w:val="24"/>
          <w:szCs w:val="24"/>
        </w:rPr>
      </w:pPr>
      <w:r w:rsidRPr="00C572F8">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 la contratación.</w:t>
      </w:r>
    </w:p>
    <w:sectPr w:rsidR="007958BD" w:rsidRPr="00C572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0F67"/>
    <w:multiLevelType w:val="hybridMultilevel"/>
    <w:tmpl w:val="EC4A6522"/>
    <w:lvl w:ilvl="0" w:tplc="8F04230C">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31A469D"/>
    <w:multiLevelType w:val="hybridMultilevel"/>
    <w:tmpl w:val="03344168"/>
    <w:lvl w:ilvl="0" w:tplc="F1D2998C">
      <w:start w:val="4"/>
      <w:numFmt w:val="decimal"/>
      <w:lvlText w:val="%1."/>
      <w:lvlJc w:val="left"/>
      <w:pPr>
        <w:ind w:left="786" w:hanging="360"/>
      </w:pPr>
      <w:rPr>
        <w:rFonts w:hint="default"/>
        <w:b/>
        <w:u w:val="singl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 w15:restartNumberingAfterBreak="0">
    <w:nsid w:val="2A425D0E"/>
    <w:multiLevelType w:val="hybridMultilevel"/>
    <w:tmpl w:val="9514BA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C5A39FB"/>
    <w:multiLevelType w:val="hybridMultilevel"/>
    <w:tmpl w:val="9BC08B16"/>
    <w:lvl w:ilvl="0" w:tplc="35FC70D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BEE675A"/>
    <w:multiLevelType w:val="hybridMultilevel"/>
    <w:tmpl w:val="FF7272B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E7F4E21"/>
    <w:multiLevelType w:val="hybridMultilevel"/>
    <w:tmpl w:val="7F9E4F14"/>
    <w:lvl w:ilvl="0" w:tplc="805A9674">
      <w:start w:val="3"/>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4384839"/>
    <w:multiLevelType w:val="hybridMultilevel"/>
    <w:tmpl w:val="5908F2A2"/>
    <w:lvl w:ilvl="0" w:tplc="E2F2EBC8">
      <w:start w:val="1"/>
      <w:numFmt w:val="lowerLetter"/>
      <w:lvlText w:val="%1."/>
      <w:lvlJc w:val="left"/>
      <w:pPr>
        <w:ind w:left="1440" w:hanging="360"/>
      </w:pPr>
      <w:rPr>
        <w:b w:val="0"/>
      </w:rPr>
    </w:lvl>
    <w:lvl w:ilvl="1" w:tplc="2C0A0019">
      <w:start w:val="1"/>
      <w:numFmt w:val="lowerLetter"/>
      <w:lvlText w:val="%2."/>
      <w:lvlJc w:val="left"/>
      <w:pPr>
        <w:ind w:left="2160" w:hanging="360"/>
      </w:pPr>
    </w:lvl>
    <w:lvl w:ilvl="2" w:tplc="2C0A001B">
      <w:start w:val="1"/>
      <w:numFmt w:val="lowerRoman"/>
      <w:lvlText w:val="%3."/>
      <w:lvlJc w:val="right"/>
      <w:pPr>
        <w:ind w:left="2880" w:hanging="180"/>
      </w:pPr>
    </w:lvl>
    <w:lvl w:ilvl="3" w:tplc="2C0A000F">
      <w:start w:val="1"/>
      <w:numFmt w:val="decimal"/>
      <w:lvlText w:val="%4."/>
      <w:lvlJc w:val="left"/>
      <w:pPr>
        <w:ind w:left="3600" w:hanging="360"/>
      </w:pPr>
    </w:lvl>
    <w:lvl w:ilvl="4" w:tplc="2C0A0019">
      <w:start w:val="1"/>
      <w:numFmt w:val="lowerLetter"/>
      <w:lvlText w:val="%5."/>
      <w:lvlJc w:val="left"/>
      <w:pPr>
        <w:ind w:left="4320" w:hanging="360"/>
      </w:pPr>
    </w:lvl>
    <w:lvl w:ilvl="5" w:tplc="2C0A001B">
      <w:start w:val="1"/>
      <w:numFmt w:val="lowerRoman"/>
      <w:lvlText w:val="%6."/>
      <w:lvlJc w:val="right"/>
      <w:pPr>
        <w:ind w:left="5040" w:hanging="180"/>
      </w:pPr>
    </w:lvl>
    <w:lvl w:ilvl="6" w:tplc="2C0A000F">
      <w:start w:val="1"/>
      <w:numFmt w:val="decimal"/>
      <w:lvlText w:val="%7."/>
      <w:lvlJc w:val="left"/>
      <w:pPr>
        <w:ind w:left="5760" w:hanging="360"/>
      </w:pPr>
    </w:lvl>
    <w:lvl w:ilvl="7" w:tplc="2C0A0019">
      <w:start w:val="1"/>
      <w:numFmt w:val="lowerLetter"/>
      <w:lvlText w:val="%8."/>
      <w:lvlJc w:val="left"/>
      <w:pPr>
        <w:ind w:left="6480" w:hanging="360"/>
      </w:pPr>
    </w:lvl>
    <w:lvl w:ilvl="8" w:tplc="2C0A001B">
      <w:start w:val="1"/>
      <w:numFmt w:val="lowerRoman"/>
      <w:lvlText w:val="%9."/>
      <w:lvlJc w:val="right"/>
      <w:pPr>
        <w:ind w:left="7200" w:hanging="180"/>
      </w:pPr>
    </w:lvl>
  </w:abstractNum>
  <w:abstractNum w:abstractNumId="8" w15:restartNumberingAfterBreak="0">
    <w:nsid w:val="57AB145B"/>
    <w:multiLevelType w:val="hybridMultilevel"/>
    <w:tmpl w:val="EFAA135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0" w15:restartNumberingAfterBreak="0">
    <w:nsid w:val="67B01846"/>
    <w:multiLevelType w:val="hybridMultilevel"/>
    <w:tmpl w:val="3A006C0C"/>
    <w:lvl w:ilvl="0" w:tplc="8568724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15:restartNumberingAfterBreak="0">
    <w:nsid w:val="68E01B10"/>
    <w:multiLevelType w:val="hybridMultilevel"/>
    <w:tmpl w:val="850ED26A"/>
    <w:lvl w:ilvl="0" w:tplc="41F0EE2A">
      <w:start w:val="1"/>
      <w:numFmt w:val="lowerLetter"/>
      <w:lvlText w:val="%1)"/>
      <w:lvlJc w:val="left"/>
      <w:pPr>
        <w:ind w:left="1080" w:hanging="360"/>
      </w:pPr>
      <w:rPr>
        <w:rFonts w:eastAsiaTheme="minorHAnsi" w:hint="default"/>
        <w:b/>
        <w:color w:val="auto"/>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70A7110B"/>
    <w:multiLevelType w:val="hybridMultilevel"/>
    <w:tmpl w:val="B33ED47C"/>
    <w:lvl w:ilvl="0" w:tplc="9C46B79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720465CB"/>
    <w:multiLevelType w:val="hybridMultilevel"/>
    <w:tmpl w:val="42C86C4E"/>
    <w:lvl w:ilvl="0" w:tplc="0A280B98">
      <w:start w:val="1"/>
      <w:numFmt w:val="lowerLetter"/>
      <w:lvlText w:val="%1."/>
      <w:lvlJc w:val="left"/>
      <w:pPr>
        <w:ind w:left="1080" w:hanging="360"/>
      </w:pPr>
      <w:rPr>
        <w:rFonts w:hint="default"/>
        <w:b/>
        <w:sz w:val="28"/>
        <w:u w:val="single"/>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1"/>
  </w:num>
  <w:num w:numId="7">
    <w:abstractNumId w:val="9"/>
  </w:num>
  <w:num w:numId="8">
    <w:abstractNumId w:val="2"/>
  </w:num>
  <w:num w:numId="9">
    <w:abstractNumId w:val="6"/>
  </w:num>
  <w:num w:numId="10">
    <w:abstractNumId w:val="8"/>
  </w:num>
  <w:num w:numId="11">
    <w:abstractNumId w:val="3"/>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C9"/>
    <w:rsid w:val="000037C9"/>
    <w:rsid w:val="00007EA3"/>
    <w:rsid w:val="000D629F"/>
    <w:rsid w:val="00142CEF"/>
    <w:rsid w:val="00244371"/>
    <w:rsid w:val="004121BB"/>
    <w:rsid w:val="00456D33"/>
    <w:rsid w:val="00593F38"/>
    <w:rsid w:val="0059449E"/>
    <w:rsid w:val="005C4E14"/>
    <w:rsid w:val="006E74B8"/>
    <w:rsid w:val="007958BD"/>
    <w:rsid w:val="00807152"/>
    <w:rsid w:val="00885630"/>
    <w:rsid w:val="008E4A7B"/>
    <w:rsid w:val="00915839"/>
    <w:rsid w:val="0099616E"/>
    <w:rsid w:val="00A201FD"/>
    <w:rsid w:val="00A75447"/>
    <w:rsid w:val="00B40B6F"/>
    <w:rsid w:val="00B71D82"/>
    <w:rsid w:val="00C572F8"/>
    <w:rsid w:val="00DB213F"/>
    <w:rsid w:val="00DC3401"/>
    <w:rsid w:val="00DE4374"/>
    <w:rsid w:val="00E26DB2"/>
    <w:rsid w:val="00EE2C93"/>
    <w:rsid w:val="00F50771"/>
    <w:rsid w:val="00FB6086"/>
    <w:rsid w:val="00FD28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E9BE6-23DE-436C-A170-8AF43EE0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616E"/>
    <w:pPr>
      <w:ind w:left="720"/>
      <w:contextualSpacing/>
    </w:pPr>
  </w:style>
  <w:style w:type="character" w:styleId="Hipervnculo">
    <w:name w:val="Hyperlink"/>
    <w:basedOn w:val="Fuentedeprrafopredeter"/>
    <w:uiPriority w:val="99"/>
    <w:unhideWhenUsed/>
    <w:rsid w:val="00B71D82"/>
    <w:rPr>
      <w:color w:val="0563C1" w:themeColor="hyperlink"/>
      <w:u w:val="single"/>
    </w:rPr>
  </w:style>
  <w:style w:type="paragraph" w:styleId="Textocomentario">
    <w:name w:val="annotation text"/>
    <w:basedOn w:val="Normal"/>
    <w:link w:val="TextocomentarioCar"/>
    <w:uiPriority w:val="99"/>
    <w:unhideWhenUsed/>
    <w:rsid w:val="00FD289C"/>
    <w:pPr>
      <w:spacing w:line="240" w:lineRule="auto"/>
    </w:pPr>
    <w:rPr>
      <w:sz w:val="20"/>
      <w:szCs w:val="20"/>
    </w:rPr>
  </w:style>
  <w:style w:type="character" w:customStyle="1" w:styleId="TextocomentarioCar">
    <w:name w:val="Texto comentario Car"/>
    <w:basedOn w:val="Fuentedeprrafopredeter"/>
    <w:link w:val="Textocomentario"/>
    <w:uiPriority w:val="99"/>
    <w:rsid w:val="00FD28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7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ndoza.gov.ar/compras/compras-publicas-sustentab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ndoza.gov.ar/compras/compras-publicas-sustentables/" TargetMode="External"/><Relationship Id="rId5" Type="http://schemas.openxmlformats.org/officeDocument/2006/relationships/hyperlink" Target="https://www.un.org/sustainabledevelopment/es/objetivos-de-desarrollo-sostenib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Roberto Cabaña</cp:lastModifiedBy>
  <cp:revision>2</cp:revision>
  <dcterms:created xsi:type="dcterms:W3CDTF">2023-08-09T16:58:00Z</dcterms:created>
  <dcterms:modified xsi:type="dcterms:W3CDTF">2023-08-09T16:58:00Z</dcterms:modified>
</cp:coreProperties>
</file>