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50082E76" w:rsidR="00DB1FD4" w:rsidRPr="00A66DAD" w:rsidRDefault="002E2EA2" w:rsidP="002E2EA2">
      <w:pPr>
        <w:pBdr>
          <w:top w:val="nil"/>
          <w:left w:val="nil"/>
          <w:bottom w:val="nil"/>
          <w:right w:val="nil"/>
          <w:between w:val="nil"/>
        </w:pBdr>
        <w:spacing w:after="0" w:line="360" w:lineRule="auto"/>
        <w:ind w:left="720"/>
        <w:jc w:val="center"/>
        <w:rPr>
          <w:rFonts w:eastAsia="Times New Roman"/>
          <w:b/>
          <w:color w:val="000000"/>
          <w:sz w:val="28"/>
          <w:szCs w:val="28"/>
          <w:u w:val="single"/>
        </w:rPr>
      </w:pPr>
      <w:r w:rsidRPr="00A66DAD">
        <w:rPr>
          <w:rFonts w:eastAsia="Times New Roman"/>
          <w:b/>
          <w:color w:val="000000"/>
          <w:sz w:val="28"/>
          <w:szCs w:val="28"/>
          <w:u w:val="single"/>
        </w:rPr>
        <w:t>GRILLA DE EVALUACION</w:t>
      </w:r>
      <w:r w:rsidR="00A66DAD">
        <w:rPr>
          <w:rFonts w:eastAsia="Times New Roman"/>
          <w:b/>
          <w:color w:val="000000"/>
          <w:sz w:val="28"/>
          <w:szCs w:val="28"/>
          <w:u w:val="single"/>
        </w:rPr>
        <w:t>DE OFERTA PARA</w:t>
      </w:r>
      <w:r w:rsidRPr="00A66DAD">
        <w:rPr>
          <w:rFonts w:eastAsia="Times New Roman"/>
          <w:b/>
          <w:color w:val="000000"/>
          <w:sz w:val="28"/>
          <w:szCs w:val="28"/>
          <w:u w:val="single"/>
        </w:rPr>
        <w:t xml:space="preserve"> </w:t>
      </w:r>
      <w:bookmarkStart w:id="0" w:name="_GoBack"/>
      <w:bookmarkEnd w:id="0"/>
      <w:r w:rsidRPr="00A66DAD">
        <w:rPr>
          <w:rFonts w:eastAsia="Times New Roman"/>
          <w:b/>
          <w:color w:val="000000"/>
          <w:sz w:val="28"/>
          <w:szCs w:val="28"/>
          <w:u w:val="single"/>
        </w:rPr>
        <w:t>EQUIPOS PCR REAL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286"/>
      </w:tblGrid>
      <w:tr w:rsidR="00EA1E9E" w:rsidRPr="00A66DAD" w14:paraId="2C4D597E" w14:textId="77777777" w:rsidTr="00BE1814">
        <w:trPr>
          <w:trHeight w:val="626"/>
          <w:jc w:val="center"/>
        </w:trPr>
        <w:tc>
          <w:tcPr>
            <w:tcW w:w="5812" w:type="dxa"/>
            <w:shd w:val="clear" w:color="auto" w:fill="auto"/>
            <w:tcMar>
              <w:top w:w="15" w:type="dxa"/>
              <w:left w:w="15" w:type="dxa"/>
              <w:bottom w:w="0" w:type="dxa"/>
              <w:right w:w="15" w:type="dxa"/>
            </w:tcMar>
            <w:vAlign w:val="center"/>
            <w:hideMark/>
          </w:tcPr>
          <w:p w14:paraId="47D53F9C" w14:textId="77777777" w:rsidR="00EA1E9E" w:rsidRPr="00A66DAD" w:rsidRDefault="00EA1E9E" w:rsidP="00D66F20">
            <w:pPr>
              <w:spacing w:after="0" w:line="360" w:lineRule="auto"/>
              <w:jc w:val="both"/>
              <w:rPr>
                <w:rFonts w:eastAsia="Times New Roman"/>
                <w:b/>
                <w:bCs/>
                <w:color w:val="000000"/>
              </w:rPr>
            </w:pPr>
            <w:r w:rsidRPr="00A66DAD">
              <w:rPr>
                <w:rFonts w:eastAsia="Times New Roman"/>
                <w:b/>
                <w:bCs/>
                <w:color w:val="000000"/>
              </w:rPr>
              <w:t>CRITERIO</w:t>
            </w:r>
          </w:p>
        </w:tc>
        <w:tc>
          <w:tcPr>
            <w:tcW w:w="1286" w:type="dxa"/>
            <w:shd w:val="clear" w:color="auto" w:fill="auto"/>
            <w:tcMar>
              <w:top w:w="15" w:type="dxa"/>
              <w:left w:w="15" w:type="dxa"/>
              <w:bottom w:w="0" w:type="dxa"/>
              <w:right w:w="15" w:type="dxa"/>
            </w:tcMar>
            <w:vAlign w:val="center"/>
            <w:hideMark/>
          </w:tcPr>
          <w:p w14:paraId="5AF60C93" w14:textId="77777777" w:rsidR="00EA1E9E" w:rsidRPr="00A66DAD" w:rsidRDefault="00EA1E9E" w:rsidP="00D66F20">
            <w:pPr>
              <w:spacing w:after="0" w:line="360" w:lineRule="auto"/>
              <w:jc w:val="both"/>
              <w:rPr>
                <w:rFonts w:eastAsia="Times New Roman"/>
                <w:b/>
                <w:bCs/>
                <w:color w:val="000000"/>
              </w:rPr>
            </w:pPr>
            <w:r w:rsidRPr="00A66DAD">
              <w:rPr>
                <w:rFonts w:eastAsia="Times New Roman"/>
                <w:b/>
                <w:bCs/>
                <w:color w:val="000000"/>
              </w:rPr>
              <w:t>PUNTAJE</w:t>
            </w:r>
          </w:p>
        </w:tc>
      </w:tr>
      <w:tr w:rsidR="00EA1E9E" w:rsidRPr="00A66DAD" w14:paraId="16969701" w14:textId="77777777" w:rsidTr="00BE1814">
        <w:trPr>
          <w:trHeight w:val="626"/>
          <w:jc w:val="center"/>
        </w:trPr>
        <w:tc>
          <w:tcPr>
            <w:tcW w:w="5812" w:type="dxa"/>
            <w:shd w:val="clear" w:color="auto" w:fill="auto"/>
            <w:tcMar>
              <w:top w:w="15" w:type="dxa"/>
              <w:left w:w="15" w:type="dxa"/>
              <w:bottom w:w="0" w:type="dxa"/>
              <w:right w:w="15" w:type="dxa"/>
            </w:tcMar>
            <w:vAlign w:val="center"/>
          </w:tcPr>
          <w:p w14:paraId="2E6EF471" w14:textId="77777777" w:rsidR="00EA1E9E" w:rsidRPr="00A66DAD" w:rsidRDefault="00EA1E9E" w:rsidP="00D66F20">
            <w:pPr>
              <w:pStyle w:val="Prrafodelista"/>
              <w:numPr>
                <w:ilvl w:val="0"/>
                <w:numId w:val="3"/>
              </w:numPr>
              <w:spacing w:after="0" w:line="360" w:lineRule="auto"/>
              <w:ind w:left="411" w:firstLine="0"/>
              <w:jc w:val="both"/>
              <w:rPr>
                <w:rFonts w:eastAsia="Times New Roman"/>
                <w:b/>
                <w:color w:val="000000"/>
              </w:rPr>
            </w:pPr>
            <w:r w:rsidRPr="00A66DAD">
              <w:rPr>
                <w:rFonts w:eastAsia="Times New Roman"/>
                <w:b/>
                <w:color w:val="000000"/>
              </w:rPr>
              <w:t xml:space="preserve">Antecedentes </w:t>
            </w:r>
          </w:p>
          <w:p w14:paraId="71A45955" w14:textId="79E84938" w:rsidR="005A5D66" w:rsidRPr="00A66DAD" w:rsidRDefault="00A81C06" w:rsidP="00D66F20">
            <w:pPr>
              <w:pStyle w:val="Prrafodelista"/>
              <w:numPr>
                <w:ilvl w:val="0"/>
                <w:numId w:val="4"/>
              </w:numPr>
              <w:spacing w:after="0" w:line="360" w:lineRule="auto"/>
              <w:ind w:left="694" w:hanging="283"/>
              <w:jc w:val="both"/>
              <w:rPr>
                <w:rFonts w:eastAsia="Times New Roman"/>
                <w:b/>
                <w:color w:val="000000"/>
              </w:rPr>
            </w:pPr>
            <w:r w:rsidRPr="00A66DAD">
              <w:rPr>
                <w:rFonts w:eastAsia="Times New Roman"/>
                <w:color w:val="000000"/>
              </w:rPr>
              <w:t>Contractuales (5</w:t>
            </w:r>
            <w:r w:rsidR="005A5D66" w:rsidRPr="00A66DAD">
              <w:rPr>
                <w:rFonts w:eastAsia="Times New Roman"/>
                <w:color w:val="000000"/>
              </w:rPr>
              <w:t>)</w:t>
            </w:r>
          </w:p>
          <w:p w14:paraId="4903FA41" w14:textId="6629D569" w:rsidR="0029319C" w:rsidRPr="00A66DAD" w:rsidRDefault="0055252C" w:rsidP="0055252C">
            <w:pPr>
              <w:pStyle w:val="Prrafodelista"/>
              <w:numPr>
                <w:ilvl w:val="0"/>
                <w:numId w:val="4"/>
              </w:numPr>
              <w:spacing w:after="0" w:line="360" w:lineRule="auto"/>
              <w:ind w:left="694" w:hanging="283"/>
              <w:jc w:val="both"/>
              <w:rPr>
                <w:rFonts w:eastAsia="Times New Roman"/>
                <w:b/>
                <w:color w:val="000000"/>
              </w:rPr>
            </w:pPr>
            <w:r w:rsidRPr="00A66DAD">
              <w:rPr>
                <w:rFonts w:eastAsia="Times New Roman"/>
                <w:color w:val="000000"/>
              </w:rPr>
              <w:t>Comerciales (5</w:t>
            </w:r>
            <w:r w:rsidR="005A5D66" w:rsidRPr="00A66DAD">
              <w:rPr>
                <w:rFonts w:eastAsia="Times New Roman"/>
                <w:color w:val="000000"/>
              </w:rPr>
              <w:t>)</w:t>
            </w:r>
          </w:p>
        </w:tc>
        <w:tc>
          <w:tcPr>
            <w:tcW w:w="1286" w:type="dxa"/>
            <w:shd w:val="clear" w:color="auto" w:fill="auto"/>
            <w:tcMar>
              <w:top w:w="15" w:type="dxa"/>
              <w:left w:w="15" w:type="dxa"/>
              <w:bottom w:w="0" w:type="dxa"/>
              <w:right w:w="15" w:type="dxa"/>
            </w:tcMar>
            <w:vAlign w:val="center"/>
          </w:tcPr>
          <w:p w14:paraId="38A46A81" w14:textId="190BC008" w:rsidR="00EA1E9E" w:rsidRPr="00A66DAD" w:rsidRDefault="0029319C" w:rsidP="00A66DAD">
            <w:pPr>
              <w:spacing w:after="0" w:line="360" w:lineRule="auto"/>
              <w:jc w:val="center"/>
              <w:rPr>
                <w:rFonts w:eastAsia="Times New Roman"/>
                <w:b/>
                <w:bCs/>
                <w:color w:val="000000"/>
              </w:rPr>
            </w:pPr>
            <w:r w:rsidRPr="00A66DAD">
              <w:rPr>
                <w:rFonts w:eastAsia="Times New Roman"/>
                <w:b/>
                <w:bCs/>
                <w:color w:val="000000"/>
              </w:rPr>
              <w:t>1</w:t>
            </w:r>
            <w:r w:rsidR="0055252C" w:rsidRPr="00A66DAD">
              <w:rPr>
                <w:rFonts w:eastAsia="Times New Roman"/>
                <w:b/>
                <w:bCs/>
                <w:color w:val="000000"/>
              </w:rPr>
              <w:t>0</w:t>
            </w:r>
          </w:p>
        </w:tc>
      </w:tr>
      <w:tr w:rsidR="00EA1E9E" w:rsidRPr="00A66DAD" w14:paraId="541FD7C0" w14:textId="77777777" w:rsidTr="00BE1814">
        <w:trPr>
          <w:trHeight w:val="626"/>
          <w:jc w:val="center"/>
        </w:trPr>
        <w:tc>
          <w:tcPr>
            <w:tcW w:w="5812" w:type="dxa"/>
            <w:shd w:val="clear" w:color="auto" w:fill="auto"/>
            <w:tcMar>
              <w:top w:w="15" w:type="dxa"/>
              <w:left w:w="15" w:type="dxa"/>
              <w:bottom w:w="0" w:type="dxa"/>
              <w:right w:w="15" w:type="dxa"/>
            </w:tcMar>
            <w:vAlign w:val="center"/>
          </w:tcPr>
          <w:p w14:paraId="21726E2A" w14:textId="04620361" w:rsidR="00EA1E9E" w:rsidRPr="00A66DAD" w:rsidRDefault="00EA1E9E" w:rsidP="00D66F20">
            <w:pPr>
              <w:pStyle w:val="Prrafodelista"/>
              <w:numPr>
                <w:ilvl w:val="0"/>
                <w:numId w:val="3"/>
              </w:numPr>
              <w:spacing w:after="0" w:line="360" w:lineRule="auto"/>
              <w:jc w:val="both"/>
              <w:rPr>
                <w:rFonts w:eastAsia="Times New Roman"/>
                <w:b/>
                <w:color w:val="000000"/>
              </w:rPr>
            </w:pPr>
            <w:r w:rsidRPr="00A66DAD">
              <w:rPr>
                <w:rFonts w:eastAsia="Times New Roman"/>
                <w:b/>
                <w:color w:val="000000"/>
              </w:rPr>
              <w:t>Calidad del producto</w:t>
            </w:r>
          </w:p>
          <w:p w14:paraId="45616371" w14:textId="5D247814" w:rsidR="002E2EA2" w:rsidRPr="00A66DAD" w:rsidRDefault="002E2EA2" w:rsidP="00BB654A">
            <w:pPr>
              <w:pStyle w:val="Prrafodelista"/>
              <w:numPr>
                <w:ilvl w:val="0"/>
                <w:numId w:val="14"/>
              </w:numPr>
              <w:spacing w:after="0" w:line="360" w:lineRule="auto"/>
              <w:jc w:val="both"/>
              <w:rPr>
                <w:rFonts w:eastAsia="Times New Roman"/>
                <w:b/>
                <w:color w:val="000000"/>
              </w:rPr>
            </w:pPr>
            <w:r w:rsidRPr="00A66DAD">
              <w:rPr>
                <w:rFonts w:eastAsia="Times New Roman"/>
                <w:color w:val="000000"/>
              </w:rPr>
              <w:t>Memoria de programas (</w:t>
            </w:r>
            <w:r w:rsidR="007C287C" w:rsidRPr="00A66DAD">
              <w:rPr>
                <w:rFonts w:eastAsia="Times New Roman"/>
                <w:color w:val="000000"/>
              </w:rPr>
              <w:t>5</w:t>
            </w:r>
            <w:r w:rsidRPr="00A66DAD">
              <w:rPr>
                <w:rFonts w:eastAsia="Times New Roman"/>
                <w:color w:val="000000"/>
              </w:rPr>
              <w:t>)</w:t>
            </w:r>
          </w:p>
          <w:p w14:paraId="62299B99" w14:textId="5B1F9093" w:rsidR="00FA2857" w:rsidRPr="00A66DAD" w:rsidRDefault="001E17D1" w:rsidP="00BB654A">
            <w:pPr>
              <w:pStyle w:val="Prrafodelista"/>
              <w:numPr>
                <w:ilvl w:val="0"/>
                <w:numId w:val="14"/>
              </w:numPr>
              <w:spacing w:after="0" w:line="360" w:lineRule="auto"/>
              <w:jc w:val="both"/>
              <w:rPr>
                <w:rFonts w:eastAsia="Times New Roman"/>
                <w:b/>
                <w:color w:val="000000"/>
              </w:rPr>
            </w:pPr>
            <w:r w:rsidRPr="00A66DAD">
              <w:rPr>
                <w:rFonts w:eastAsia="Times New Roman"/>
                <w:color w:val="000000"/>
              </w:rPr>
              <w:t>Capacidad de muestreo</w:t>
            </w:r>
            <w:r w:rsidR="00BE1814" w:rsidRPr="00A66DAD">
              <w:rPr>
                <w:rFonts w:eastAsia="Times New Roman"/>
                <w:color w:val="000000"/>
              </w:rPr>
              <w:t xml:space="preserve"> (</w:t>
            </w:r>
            <w:r w:rsidR="007C287C" w:rsidRPr="00A66DAD">
              <w:rPr>
                <w:rFonts w:eastAsia="Times New Roman"/>
                <w:color w:val="000000"/>
              </w:rPr>
              <w:t>5</w:t>
            </w:r>
            <w:r w:rsidR="00BB654A" w:rsidRPr="00A66DAD">
              <w:rPr>
                <w:rFonts w:eastAsia="Times New Roman"/>
                <w:color w:val="000000"/>
              </w:rPr>
              <w:t>)</w:t>
            </w:r>
          </w:p>
          <w:p w14:paraId="28764C9D" w14:textId="149C1E4B" w:rsidR="00BB654A" w:rsidRPr="00A66DAD" w:rsidRDefault="001E17D1" w:rsidP="00BB654A">
            <w:pPr>
              <w:pStyle w:val="Prrafodelista"/>
              <w:numPr>
                <w:ilvl w:val="0"/>
                <w:numId w:val="14"/>
              </w:numPr>
              <w:spacing w:after="0" w:line="360" w:lineRule="auto"/>
              <w:jc w:val="both"/>
              <w:rPr>
                <w:rFonts w:eastAsia="Times New Roman"/>
                <w:b/>
                <w:color w:val="000000"/>
              </w:rPr>
            </w:pPr>
            <w:r w:rsidRPr="00A66DAD">
              <w:rPr>
                <w:rFonts w:eastAsia="Times New Roman"/>
                <w:color w:val="000000"/>
              </w:rPr>
              <w:t>Canales de detección</w:t>
            </w:r>
            <w:r w:rsidR="00BE1814" w:rsidRPr="00A66DAD">
              <w:rPr>
                <w:rFonts w:eastAsia="Times New Roman"/>
                <w:color w:val="000000"/>
              </w:rPr>
              <w:t xml:space="preserve"> (</w:t>
            </w:r>
            <w:r w:rsidR="007C287C" w:rsidRPr="00A66DAD">
              <w:rPr>
                <w:rFonts w:eastAsia="Times New Roman"/>
                <w:color w:val="000000"/>
              </w:rPr>
              <w:t>2,5</w:t>
            </w:r>
            <w:r w:rsidR="00E25428" w:rsidRPr="00A66DAD">
              <w:rPr>
                <w:rFonts w:eastAsia="Times New Roman"/>
                <w:color w:val="000000"/>
              </w:rPr>
              <w:t>)</w:t>
            </w:r>
          </w:p>
          <w:p w14:paraId="12C1245D" w14:textId="4442D9B8" w:rsidR="00BB654A" w:rsidRPr="00A66DAD" w:rsidRDefault="005630BE" w:rsidP="00BB654A">
            <w:pPr>
              <w:pStyle w:val="Prrafodelista"/>
              <w:numPr>
                <w:ilvl w:val="0"/>
                <w:numId w:val="14"/>
              </w:numPr>
              <w:spacing w:after="0" w:line="360" w:lineRule="auto"/>
              <w:jc w:val="both"/>
              <w:rPr>
                <w:rFonts w:eastAsia="Times New Roman"/>
                <w:b/>
                <w:color w:val="000000"/>
              </w:rPr>
            </w:pPr>
            <w:r w:rsidRPr="00A66DAD">
              <w:rPr>
                <w:rFonts w:eastAsia="Times New Roman"/>
                <w:color w:val="000000"/>
              </w:rPr>
              <w:t xml:space="preserve">Tecnología de </w:t>
            </w:r>
            <w:r w:rsidR="002E2EA2" w:rsidRPr="00A66DAD">
              <w:rPr>
                <w:rFonts w:eastAsia="Times New Roman"/>
                <w:color w:val="000000"/>
              </w:rPr>
              <w:t>última</w:t>
            </w:r>
            <w:r w:rsidRPr="00A66DAD">
              <w:rPr>
                <w:rFonts w:eastAsia="Times New Roman"/>
                <w:color w:val="000000"/>
              </w:rPr>
              <w:t xml:space="preserve"> generación</w:t>
            </w:r>
            <w:r w:rsidR="00BE1814" w:rsidRPr="00A66DAD">
              <w:rPr>
                <w:rFonts w:eastAsia="Times New Roman"/>
                <w:color w:val="000000"/>
              </w:rPr>
              <w:t xml:space="preserve"> (</w:t>
            </w:r>
            <w:r w:rsidR="007C287C" w:rsidRPr="00A66DAD">
              <w:rPr>
                <w:rFonts w:eastAsia="Times New Roman"/>
                <w:color w:val="000000"/>
              </w:rPr>
              <w:t>5</w:t>
            </w:r>
            <w:r w:rsidR="00BB654A" w:rsidRPr="00A66DAD">
              <w:rPr>
                <w:rFonts w:eastAsia="Times New Roman"/>
                <w:color w:val="000000"/>
              </w:rPr>
              <w:t>)</w:t>
            </w:r>
          </w:p>
          <w:p w14:paraId="1DB1ADA2" w14:textId="53A743B4" w:rsidR="00BB654A" w:rsidRPr="00A66DAD" w:rsidRDefault="001E17D1" w:rsidP="00BB654A">
            <w:pPr>
              <w:pStyle w:val="Prrafodelista"/>
              <w:numPr>
                <w:ilvl w:val="0"/>
                <w:numId w:val="14"/>
              </w:numPr>
              <w:spacing w:after="0" w:line="360" w:lineRule="auto"/>
              <w:jc w:val="both"/>
              <w:rPr>
                <w:rFonts w:eastAsia="Times New Roman"/>
                <w:b/>
                <w:color w:val="000000"/>
              </w:rPr>
            </w:pPr>
            <w:r w:rsidRPr="00A66DAD">
              <w:rPr>
                <w:rFonts w:eastAsia="Times New Roman"/>
                <w:color w:val="000000"/>
              </w:rPr>
              <w:t>Garantía</w:t>
            </w:r>
            <w:r w:rsidR="00BE1814" w:rsidRPr="00A66DAD">
              <w:rPr>
                <w:rFonts w:eastAsia="Times New Roman"/>
                <w:color w:val="000000"/>
              </w:rPr>
              <w:t xml:space="preserve"> (</w:t>
            </w:r>
            <w:r w:rsidR="007C287C" w:rsidRPr="00A66DAD">
              <w:rPr>
                <w:rFonts w:eastAsia="Times New Roman"/>
                <w:color w:val="000000"/>
              </w:rPr>
              <w:t>5</w:t>
            </w:r>
            <w:r w:rsidR="00BB654A" w:rsidRPr="00A66DAD">
              <w:rPr>
                <w:rFonts w:eastAsia="Times New Roman"/>
                <w:color w:val="000000"/>
              </w:rPr>
              <w:t>)</w:t>
            </w:r>
          </w:p>
          <w:p w14:paraId="3DF8F69B" w14:textId="540BB17E" w:rsidR="002E2EA2" w:rsidRPr="00A66DAD" w:rsidRDefault="002E2EA2" w:rsidP="00BB654A">
            <w:pPr>
              <w:pStyle w:val="Prrafodelista"/>
              <w:numPr>
                <w:ilvl w:val="0"/>
                <w:numId w:val="14"/>
              </w:numPr>
              <w:spacing w:after="0" w:line="360" w:lineRule="auto"/>
              <w:jc w:val="both"/>
              <w:rPr>
                <w:rFonts w:eastAsia="Times New Roman"/>
                <w:b/>
                <w:color w:val="000000"/>
              </w:rPr>
            </w:pPr>
            <w:r w:rsidRPr="00A66DAD">
              <w:rPr>
                <w:rFonts w:eastAsia="Times New Roman"/>
                <w:color w:val="000000"/>
              </w:rPr>
              <w:t>Manual de uso (</w:t>
            </w:r>
            <w:r w:rsidR="007C287C" w:rsidRPr="00A66DAD">
              <w:rPr>
                <w:rFonts w:eastAsia="Times New Roman"/>
                <w:color w:val="000000"/>
              </w:rPr>
              <w:t>2,5</w:t>
            </w:r>
            <w:r w:rsidRPr="00A66DAD">
              <w:rPr>
                <w:rFonts w:eastAsia="Times New Roman"/>
                <w:color w:val="000000"/>
              </w:rPr>
              <w:t>)</w:t>
            </w:r>
          </w:p>
        </w:tc>
        <w:tc>
          <w:tcPr>
            <w:tcW w:w="1286" w:type="dxa"/>
            <w:shd w:val="clear" w:color="auto" w:fill="auto"/>
            <w:tcMar>
              <w:top w:w="15" w:type="dxa"/>
              <w:left w:w="15" w:type="dxa"/>
              <w:bottom w:w="0" w:type="dxa"/>
              <w:right w:w="15" w:type="dxa"/>
            </w:tcMar>
            <w:vAlign w:val="center"/>
          </w:tcPr>
          <w:p w14:paraId="13197EBD" w14:textId="4BA1E681" w:rsidR="00EA1E9E" w:rsidRPr="00A66DAD" w:rsidRDefault="007C287C" w:rsidP="00A66DAD">
            <w:pPr>
              <w:spacing w:after="0" w:line="360" w:lineRule="auto"/>
              <w:jc w:val="center"/>
              <w:rPr>
                <w:rFonts w:eastAsia="Times New Roman"/>
                <w:b/>
                <w:bCs/>
                <w:color w:val="000000"/>
              </w:rPr>
            </w:pPr>
            <w:r w:rsidRPr="00A66DAD">
              <w:rPr>
                <w:rFonts w:eastAsia="Times New Roman"/>
                <w:b/>
                <w:bCs/>
                <w:color w:val="000000"/>
              </w:rPr>
              <w:t>25</w:t>
            </w:r>
          </w:p>
        </w:tc>
      </w:tr>
      <w:tr w:rsidR="00EA1E9E" w:rsidRPr="00A66DAD" w14:paraId="36551FB7" w14:textId="77777777" w:rsidTr="00BE1814">
        <w:trPr>
          <w:trHeight w:val="626"/>
          <w:jc w:val="center"/>
        </w:trPr>
        <w:tc>
          <w:tcPr>
            <w:tcW w:w="5812" w:type="dxa"/>
            <w:shd w:val="clear" w:color="auto" w:fill="auto"/>
            <w:tcMar>
              <w:top w:w="15" w:type="dxa"/>
              <w:left w:w="15" w:type="dxa"/>
              <w:bottom w:w="0" w:type="dxa"/>
              <w:right w:w="15" w:type="dxa"/>
            </w:tcMar>
            <w:vAlign w:val="center"/>
            <w:hideMark/>
          </w:tcPr>
          <w:p w14:paraId="64A4B857" w14:textId="77777777" w:rsidR="00EA1E9E" w:rsidRPr="00A66DAD" w:rsidRDefault="00EA1E9E" w:rsidP="00D66F20">
            <w:pPr>
              <w:pStyle w:val="Prrafodelista"/>
              <w:numPr>
                <w:ilvl w:val="0"/>
                <w:numId w:val="3"/>
              </w:numPr>
              <w:spacing w:after="0" w:line="360" w:lineRule="auto"/>
              <w:jc w:val="both"/>
              <w:rPr>
                <w:rFonts w:eastAsia="Times New Roman"/>
                <w:b/>
                <w:color w:val="000000"/>
              </w:rPr>
            </w:pPr>
            <w:r w:rsidRPr="00A66DAD">
              <w:rPr>
                <w:rFonts w:eastAsia="Times New Roman"/>
                <w:b/>
                <w:color w:val="000000"/>
              </w:rPr>
              <w:t>Plazo de Entrega o Ejecución</w:t>
            </w:r>
          </w:p>
        </w:tc>
        <w:tc>
          <w:tcPr>
            <w:tcW w:w="1286" w:type="dxa"/>
            <w:shd w:val="clear" w:color="auto" w:fill="auto"/>
            <w:tcMar>
              <w:top w:w="15" w:type="dxa"/>
              <w:left w:w="15" w:type="dxa"/>
              <w:bottom w:w="0" w:type="dxa"/>
              <w:right w:w="15" w:type="dxa"/>
            </w:tcMar>
            <w:vAlign w:val="center"/>
            <w:hideMark/>
          </w:tcPr>
          <w:p w14:paraId="1E40C869" w14:textId="04BE94B1" w:rsidR="00EA1E9E" w:rsidRPr="00A66DAD" w:rsidRDefault="002D6984" w:rsidP="00A66DAD">
            <w:pPr>
              <w:spacing w:after="0" w:line="360" w:lineRule="auto"/>
              <w:jc w:val="center"/>
              <w:rPr>
                <w:rFonts w:eastAsia="Times New Roman"/>
                <w:b/>
                <w:bCs/>
                <w:color w:val="000000"/>
              </w:rPr>
            </w:pPr>
            <w:r w:rsidRPr="00A66DAD">
              <w:rPr>
                <w:rFonts w:eastAsia="Times New Roman"/>
                <w:b/>
                <w:bCs/>
                <w:color w:val="000000"/>
              </w:rPr>
              <w:t>10</w:t>
            </w:r>
          </w:p>
        </w:tc>
      </w:tr>
      <w:tr w:rsidR="00EA1E9E" w:rsidRPr="00A66DAD" w14:paraId="3089BFAE" w14:textId="77777777" w:rsidTr="00BE1814">
        <w:trPr>
          <w:trHeight w:val="626"/>
          <w:jc w:val="center"/>
        </w:trPr>
        <w:tc>
          <w:tcPr>
            <w:tcW w:w="5812" w:type="dxa"/>
            <w:shd w:val="clear" w:color="auto" w:fill="auto"/>
            <w:tcMar>
              <w:top w:w="15" w:type="dxa"/>
              <w:left w:w="15" w:type="dxa"/>
              <w:bottom w:w="0" w:type="dxa"/>
              <w:right w:w="15" w:type="dxa"/>
            </w:tcMar>
            <w:vAlign w:val="center"/>
          </w:tcPr>
          <w:p w14:paraId="7AAE7277" w14:textId="77777777" w:rsidR="00EA1E9E" w:rsidRPr="00A66DAD" w:rsidRDefault="00EA1E9E" w:rsidP="00D66F20">
            <w:pPr>
              <w:pStyle w:val="Prrafodelista"/>
              <w:numPr>
                <w:ilvl w:val="0"/>
                <w:numId w:val="3"/>
              </w:numPr>
              <w:spacing w:after="0" w:line="360" w:lineRule="auto"/>
              <w:jc w:val="both"/>
              <w:rPr>
                <w:rFonts w:eastAsia="Times New Roman"/>
                <w:color w:val="000000"/>
              </w:rPr>
            </w:pPr>
            <w:r w:rsidRPr="00A66DAD">
              <w:rPr>
                <w:b/>
              </w:rPr>
              <w:t>Acreditación ODS s/ Ley 9193</w:t>
            </w:r>
          </w:p>
        </w:tc>
        <w:tc>
          <w:tcPr>
            <w:tcW w:w="1286" w:type="dxa"/>
            <w:shd w:val="clear" w:color="auto" w:fill="auto"/>
            <w:tcMar>
              <w:top w:w="15" w:type="dxa"/>
              <w:left w:w="15" w:type="dxa"/>
              <w:bottom w:w="0" w:type="dxa"/>
              <w:right w:w="15" w:type="dxa"/>
            </w:tcMar>
            <w:vAlign w:val="center"/>
          </w:tcPr>
          <w:p w14:paraId="116A27E9" w14:textId="77777777" w:rsidR="00EA1E9E" w:rsidRPr="00A66DAD" w:rsidRDefault="00EA1E9E" w:rsidP="00A66DAD">
            <w:pPr>
              <w:spacing w:after="0" w:line="360" w:lineRule="auto"/>
              <w:jc w:val="center"/>
              <w:rPr>
                <w:rFonts w:eastAsia="Times New Roman"/>
                <w:b/>
                <w:bCs/>
                <w:color w:val="000000"/>
              </w:rPr>
            </w:pPr>
            <w:r w:rsidRPr="00A66DAD">
              <w:rPr>
                <w:rFonts w:eastAsia="Times New Roman"/>
                <w:b/>
                <w:bCs/>
                <w:color w:val="000000"/>
              </w:rPr>
              <w:t>10</w:t>
            </w:r>
          </w:p>
        </w:tc>
      </w:tr>
      <w:tr w:rsidR="00EA1E9E" w:rsidRPr="00A66DAD" w14:paraId="06FBE7A9" w14:textId="77777777" w:rsidTr="00BE1814">
        <w:trPr>
          <w:trHeight w:val="626"/>
          <w:jc w:val="center"/>
        </w:trPr>
        <w:tc>
          <w:tcPr>
            <w:tcW w:w="5812" w:type="dxa"/>
            <w:shd w:val="clear" w:color="auto" w:fill="auto"/>
            <w:tcMar>
              <w:top w:w="15" w:type="dxa"/>
              <w:left w:w="15" w:type="dxa"/>
              <w:bottom w:w="0" w:type="dxa"/>
              <w:right w:w="15" w:type="dxa"/>
            </w:tcMar>
            <w:vAlign w:val="center"/>
          </w:tcPr>
          <w:p w14:paraId="2F8B4C3B" w14:textId="77777777" w:rsidR="00EA1E9E" w:rsidRPr="00A66DAD" w:rsidRDefault="00EA1E9E" w:rsidP="00D66F20">
            <w:pPr>
              <w:pStyle w:val="Prrafodelista"/>
              <w:numPr>
                <w:ilvl w:val="0"/>
                <w:numId w:val="3"/>
              </w:numPr>
              <w:spacing w:after="0" w:line="360" w:lineRule="auto"/>
              <w:jc w:val="both"/>
              <w:rPr>
                <w:rFonts w:eastAsia="Times New Roman"/>
                <w:b/>
                <w:color w:val="000000"/>
              </w:rPr>
            </w:pPr>
            <w:r w:rsidRPr="00A66DAD">
              <w:rPr>
                <w:rFonts w:eastAsia="Times New Roman"/>
                <w:b/>
                <w:color w:val="000000"/>
              </w:rPr>
              <w:t>Oferta Económica</w:t>
            </w:r>
          </w:p>
        </w:tc>
        <w:tc>
          <w:tcPr>
            <w:tcW w:w="1286" w:type="dxa"/>
            <w:shd w:val="clear" w:color="auto" w:fill="auto"/>
            <w:tcMar>
              <w:top w:w="15" w:type="dxa"/>
              <w:left w:w="15" w:type="dxa"/>
              <w:bottom w:w="0" w:type="dxa"/>
              <w:right w:w="15" w:type="dxa"/>
            </w:tcMar>
            <w:vAlign w:val="center"/>
          </w:tcPr>
          <w:p w14:paraId="0DF83AFE" w14:textId="3D78B236" w:rsidR="00EA1E9E" w:rsidRPr="00A66DAD" w:rsidRDefault="007C287C" w:rsidP="00A66DAD">
            <w:pPr>
              <w:spacing w:after="0" w:line="360" w:lineRule="auto"/>
              <w:jc w:val="center"/>
              <w:rPr>
                <w:rFonts w:eastAsia="Times New Roman"/>
                <w:b/>
                <w:bCs/>
                <w:color w:val="000000"/>
              </w:rPr>
            </w:pPr>
            <w:r w:rsidRPr="00A66DAD">
              <w:rPr>
                <w:rFonts w:eastAsia="Times New Roman"/>
                <w:b/>
                <w:bCs/>
                <w:color w:val="000000"/>
              </w:rPr>
              <w:t>45</w:t>
            </w:r>
          </w:p>
        </w:tc>
      </w:tr>
      <w:tr w:rsidR="00EA1E9E" w:rsidRPr="00A66DAD" w14:paraId="799548CF" w14:textId="77777777" w:rsidTr="00BE1814">
        <w:trPr>
          <w:trHeight w:val="626"/>
          <w:jc w:val="center"/>
        </w:trPr>
        <w:tc>
          <w:tcPr>
            <w:tcW w:w="5812" w:type="dxa"/>
            <w:shd w:val="clear" w:color="auto" w:fill="auto"/>
            <w:tcMar>
              <w:top w:w="15" w:type="dxa"/>
              <w:left w:w="15" w:type="dxa"/>
              <w:bottom w:w="0" w:type="dxa"/>
              <w:right w:w="15" w:type="dxa"/>
            </w:tcMar>
            <w:vAlign w:val="center"/>
            <w:hideMark/>
          </w:tcPr>
          <w:p w14:paraId="08F2F984" w14:textId="77777777" w:rsidR="00EA1E9E" w:rsidRPr="00A66DAD" w:rsidRDefault="00EA1E9E" w:rsidP="00D66F20">
            <w:pPr>
              <w:spacing w:after="0" w:line="360" w:lineRule="auto"/>
              <w:jc w:val="both"/>
              <w:rPr>
                <w:rFonts w:eastAsia="Times New Roman"/>
                <w:b/>
                <w:bCs/>
                <w:color w:val="000000"/>
              </w:rPr>
            </w:pPr>
            <w:r w:rsidRPr="00A66DAD">
              <w:rPr>
                <w:rFonts w:eastAsia="Times New Roman"/>
                <w:b/>
                <w:bCs/>
                <w:color w:val="000000"/>
              </w:rPr>
              <w:t>TOTAL</w:t>
            </w:r>
          </w:p>
        </w:tc>
        <w:tc>
          <w:tcPr>
            <w:tcW w:w="1286" w:type="dxa"/>
            <w:shd w:val="clear" w:color="auto" w:fill="auto"/>
            <w:tcMar>
              <w:top w:w="15" w:type="dxa"/>
              <w:left w:w="15" w:type="dxa"/>
              <w:bottom w:w="0" w:type="dxa"/>
              <w:right w:w="15" w:type="dxa"/>
            </w:tcMar>
            <w:vAlign w:val="center"/>
            <w:hideMark/>
          </w:tcPr>
          <w:p w14:paraId="6C5AFC7D" w14:textId="77777777" w:rsidR="00EA1E9E" w:rsidRPr="00A66DAD" w:rsidRDefault="00EA1E9E" w:rsidP="00A66DAD">
            <w:pPr>
              <w:spacing w:after="0" w:line="360" w:lineRule="auto"/>
              <w:jc w:val="center"/>
              <w:rPr>
                <w:rFonts w:eastAsia="Times New Roman"/>
                <w:b/>
                <w:bCs/>
                <w:color w:val="000000"/>
              </w:rPr>
            </w:pPr>
            <w:r w:rsidRPr="00A66DAD">
              <w:rPr>
                <w:rFonts w:eastAsia="Times New Roman"/>
                <w:b/>
                <w:bCs/>
                <w:color w:val="000000"/>
              </w:rPr>
              <w:t>100</w:t>
            </w:r>
          </w:p>
        </w:tc>
      </w:tr>
    </w:tbl>
    <w:p w14:paraId="49661D8C" w14:textId="09B874BF" w:rsidR="00933845" w:rsidRPr="00A66DAD"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A66DAD"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u w:val="single"/>
        </w:rPr>
        <w:t>ANTECEDENTES</w:t>
      </w:r>
      <w:r w:rsidR="00EA1E9E" w:rsidRPr="00A66DAD">
        <w:rPr>
          <w:rFonts w:eastAsia="Times New Roman"/>
          <w:b/>
          <w:color w:val="000000"/>
        </w:rPr>
        <w:t>:</w:t>
      </w:r>
      <w:r w:rsidRPr="00A66DAD">
        <w:rPr>
          <w:rFonts w:eastAsia="Times New Roman"/>
          <w:b/>
          <w:color w:val="000000"/>
        </w:rPr>
        <w:t xml:space="preserve"> </w:t>
      </w:r>
    </w:p>
    <w:p w14:paraId="28F1D787" w14:textId="6DDA5B69" w:rsidR="00431FB0" w:rsidRPr="00A66DAD" w:rsidRDefault="005A5D66" w:rsidP="00B93EAA">
      <w:pPr>
        <w:pStyle w:val="Prrafodelista"/>
        <w:numPr>
          <w:ilvl w:val="0"/>
          <w:numId w:val="17"/>
        </w:numPr>
        <w:spacing w:line="360" w:lineRule="auto"/>
        <w:jc w:val="both"/>
        <w:rPr>
          <w:rFonts w:eastAsia="Times New Roman"/>
          <w:color w:val="000000"/>
        </w:rPr>
      </w:pPr>
      <w:r w:rsidRPr="00A66DAD">
        <w:rPr>
          <w:b/>
        </w:rPr>
        <w:t xml:space="preserve">Contractuales: </w:t>
      </w:r>
      <w:r w:rsidR="0029319C" w:rsidRPr="00A66DAD">
        <w:rPr>
          <w:rFonts w:eastAsia="Times New Roman"/>
          <w:color w:val="000000"/>
        </w:rPr>
        <w:t>s</w:t>
      </w:r>
      <w:r w:rsidRPr="00A66DAD">
        <w:rPr>
          <w:rFonts w:eastAsia="Times New Roman"/>
          <w:color w:val="000000"/>
        </w:rPr>
        <w:t xml:space="preserve">e calificará con el máximo puntaje </w:t>
      </w:r>
      <w:r w:rsidR="00A81C06" w:rsidRPr="00A66DAD">
        <w:rPr>
          <w:rFonts w:eastAsia="Times New Roman"/>
          <w:color w:val="000000"/>
        </w:rPr>
        <w:t>previsto (5</w:t>
      </w:r>
      <w:r w:rsidRPr="00A66DAD">
        <w:rPr>
          <w:rFonts w:eastAsia="Times New Roman"/>
          <w:color w:val="000000"/>
        </w:rPr>
        <w:t xml:space="preserve"> puntos) a los oferentes que no posean antecedentes en el Registro Único de Proveedores de Mendoza, de penalidades</w:t>
      </w:r>
      <w:r w:rsidR="0055252C" w:rsidRPr="00A66DAD">
        <w:rPr>
          <w:rFonts w:eastAsia="Times New Roman"/>
          <w:color w:val="000000"/>
        </w:rPr>
        <w:t xml:space="preserve"> o sanciones aplicadas dentro del último</w:t>
      </w:r>
      <w:r w:rsidRPr="00A66DAD">
        <w:rPr>
          <w:rFonts w:eastAsia="Times New Roman"/>
          <w:color w:val="000000"/>
        </w:rPr>
        <w:t xml:space="preserve"> año anterior a la fecha de apertura de ofertas. En caso de oferentes que no posean en el Registro Único de Proveedores una inscripción vigente en dicho período, también serán cali</w:t>
      </w:r>
      <w:r w:rsidR="00FA2857" w:rsidRPr="00A66DAD">
        <w:rPr>
          <w:rFonts w:eastAsia="Times New Roman"/>
          <w:color w:val="000000"/>
        </w:rPr>
        <w:t>ficados con el máximo puntaje (5</w:t>
      </w:r>
      <w:r w:rsidRPr="00A66DAD">
        <w:rPr>
          <w:rFonts w:eastAsia="Times New Roman"/>
        </w:rPr>
        <w:t xml:space="preserve"> </w:t>
      </w:r>
      <w:r w:rsidR="00FA2857" w:rsidRPr="00A66DAD">
        <w:rPr>
          <w:rFonts w:eastAsia="Times New Roman"/>
          <w:color w:val="000000"/>
        </w:rPr>
        <w:t xml:space="preserve">puntos). </w:t>
      </w:r>
      <w:r w:rsidR="00B93EAA" w:rsidRPr="00A66DAD">
        <w:rPr>
          <w:rFonts w:eastAsia="Times New Roman"/>
          <w:color w:val="000000"/>
        </w:rPr>
        <w:t xml:space="preserve">Se calificará con </w:t>
      </w:r>
      <w:r w:rsidR="00B93EAA" w:rsidRPr="00A66DAD">
        <w:rPr>
          <w:rFonts w:eastAsia="Times New Roman"/>
        </w:rPr>
        <w:t>3</w:t>
      </w:r>
      <w:r w:rsidR="00B93EAA" w:rsidRPr="00A66DAD">
        <w:rPr>
          <w:rFonts w:eastAsia="Times New Roman"/>
          <w:color w:val="000000"/>
        </w:rPr>
        <w:t xml:space="preserve"> puntos a los oferentes que posean sanciones de apercibimiento dentro del último año anterior a la fecha de apertura de ofertas, inscriptas en el Registro </w:t>
      </w:r>
      <w:r w:rsidR="00B93EAA" w:rsidRPr="00A66DAD">
        <w:rPr>
          <w:rFonts w:eastAsia="Times New Roman"/>
          <w:color w:val="000000"/>
        </w:rPr>
        <w:lastRenderedPageBreak/>
        <w:t xml:space="preserve">Único de Proveedores de Mendoza u otros de otra jurisdicción Nacional, Provincial o Municipal. Se calificará también con </w:t>
      </w:r>
      <w:r w:rsidR="00B93EAA" w:rsidRPr="00A66DAD">
        <w:rPr>
          <w:rFonts w:eastAsia="Times New Roman"/>
        </w:rPr>
        <w:t>3</w:t>
      </w:r>
      <w:r w:rsidR="00B93EAA" w:rsidRPr="00A66DAD">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del último año anterior a la fecha de apertura de ofertas.</w:t>
      </w:r>
    </w:p>
    <w:p w14:paraId="48C700BE" w14:textId="28CF04A4" w:rsidR="005A5D66" w:rsidRPr="00A66DAD" w:rsidRDefault="005A5D66" w:rsidP="00431FB0">
      <w:pPr>
        <w:spacing w:line="360" w:lineRule="auto"/>
        <w:jc w:val="both"/>
        <w:rPr>
          <w:rFonts w:eastAsia="Times New Roman"/>
          <w:color w:val="000000"/>
        </w:rPr>
      </w:pPr>
      <w:r w:rsidRPr="00A66DAD">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4F5FA9A9" w:rsidR="005A5D66" w:rsidRPr="00A66DAD" w:rsidRDefault="005A5D66" w:rsidP="00431FB0">
      <w:pPr>
        <w:pStyle w:val="Textocomentario"/>
        <w:numPr>
          <w:ilvl w:val="0"/>
          <w:numId w:val="17"/>
        </w:numPr>
        <w:spacing w:line="360" w:lineRule="auto"/>
        <w:jc w:val="both"/>
        <w:rPr>
          <w:sz w:val="24"/>
          <w:szCs w:val="24"/>
        </w:rPr>
      </w:pPr>
      <w:r w:rsidRPr="00A66DAD">
        <w:rPr>
          <w:b/>
          <w:sz w:val="24"/>
          <w:szCs w:val="24"/>
        </w:rPr>
        <w:t xml:space="preserve">Comerciales: </w:t>
      </w:r>
      <w:r w:rsidR="0029319C" w:rsidRPr="00A66DAD">
        <w:rPr>
          <w:sz w:val="24"/>
          <w:szCs w:val="24"/>
        </w:rPr>
        <w:t>s</w:t>
      </w:r>
      <w:r w:rsidRPr="00A66DAD">
        <w:rPr>
          <w:sz w:val="24"/>
          <w:szCs w:val="24"/>
        </w:rPr>
        <w:t>e otorga</w:t>
      </w:r>
      <w:r w:rsidR="0055252C" w:rsidRPr="00A66DAD">
        <w:rPr>
          <w:sz w:val="24"/>
          <w:szCs w:val="24"/>
        </w:rPr>
        <w:t>rá el máximo puntaje previsto (5</w:t>
      </w:r>
      <w:r w:rsidRPr="00A66DAD">
        <w:rPr>
          <w:sz w:val="24"/>
          <w:szCs w:val="24"/>
        </w:rPr>
        <w:t xml:space="preserve"> puntos), a las ofertas que acrediten el mayor volumen de antecedentes comerciales </w:t>
      </w:r>
      <w:r w:rsidR="0055252C" w:rsidRPr="00A66DAD">
        <w:rPr>
          <w:sz w:val="24"/>
          <w:szCs w:val="24"/>
        </w:rPr>
        <w:t xml:space="preserve">de características similares a las de esta contratación, </w:t>
      </w:r>
      <w:r w:rsidRPr="00A66DAD">
        <w:rPr>
          <w:sz w:val="24"/>
          <w:szCs w:val="24"/>
        </w:rPr>
        <w:t>que se encuentren fehacientemente documentados y/o certificados por comitentes,</w:t>
      </w:r>
      <w:r w:rsidR="0055252C" w:rsidRPr="00A66DAD">
        <w:rPr>
          <w:sz w:val="24"/>
          <w:szCs w:val="24"/>
        </w:rPr>
        <w:t xml:space="preserve"> dentro del último</w:t>
      </w:r>
      <w:r w:rsidR="00094DC7" w:rsidRPr="00A66DAD">
        <w:rPr>
          <w:sz w:val="24"/>
          <w:szCs w:val="24"/>
        </w:rPr>
        <w:t xml:space="preserve"> año</w:t>
      </w:r>
      <w:r w:rsidR="0055252C" w:rsidRPr="00A66DAD">
        <w:rPr>
          <w:sz w:val="24"/>
          <w:szCs w:val="24"/>
        </w:rPr>
        <w:t xml:space="preserve"> anterior</w:t>
      </w:r>
      <w:r w:rsidRPr="00A66DAD">
        <w:rPr>
          <w:sz w:val="24"/>
          <w:szCs w:val="24"/>
        </w:rPr>
        <w:t xml:space="preserve"> a la publicación de la presente contratación pública. Las demás ofertas serán calificadas con </w:t>
      </w:r>
      <w:r w:rsidR="0029319C" w:rsidRPr="00A66DAD">
        <w:rPr>
          <w:sz w:val="24"/>
          <w:szCs w:val="24"/>
        </w:rPr>
        <w:t>el criterio de proporcionalidad</w:t>
      </w:r>
      <w:r w:rsidRPr="00A66DAD">
        <w:rPr>
          <w:sz w:val="24"/>
          <w:szCs w:val="24"/>
        </w:rPr>
        <w:t>.</w:t>
      </w:r>
    </w:p>
    <w:p w14:paraId="29C70387" w14:textId="36B81913" w:rsidR="005A5D66" w:rsidRPr="00A66DAD" w:rsidRDefault="00431FB0" w:rsidP="00431FB0">
      <w:pPr>
        <w:pStyle w:val="Textocomentario"/>
        <w:spacing w:line="360" w:lineRule="auto"/>
        <w:jc w:val="both"/>
        <w:rPr>
          <w:b/>
          <w:sz w:val="24"/>
          <w:szCs w:val="24"/>
        </w:rPr>
      </w:pPr>
      <w:r w:rsidRPr="00A66DAD">
        <w:rPr>
          <w:b/>
          <w:sz w:val="24"/>
          <w:szCs w:val="24"/>
        </w:rPr>
        <w:t>I</w:t>
      </w:r>
      <w:r w:rsidR="005A5D66" w:rsidRPr="00A66DAD">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sidRPr="00A66DAD">
        <w:rPr>
          <w:b/>
          <w:sz w:val="24"/>
          <w:szCs w:val="24"/>
        </w:rPr>
        <w:t>al acto de recepción de ofertas</w:t>
      </w:r>
      <w:r w:rsidR="005A5D66" w:rsidRPr="00A66DAD">
        <w:rPr>
          <w:b/>
          <w:sz w:val="24"/>
          <w:szCs w:val="24"/>
        </w:rPr>
        <w:t>.</w:t>
      </w:r>
      <w:r w:rsidR="00AC48FA" w:rsidRPr="00A66DAD">
        <w:rPr>
          <w:b/>
          <w:sz w:val="24"/>
          <w:szCs w:val="24"/>
        </w:rPr>
        <w:t xml:space="preserve"> </w:t>
      </w:r>
    </w:p>
    <w:p w14:paraId="2FFF6D1B" w14:textId="6BEEA570" w:rsidR="0016241B" w:rsidRPr="00A66DAD"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u w:val="single"/>
        </w:rPr>
        <w:t>CALIDAD DEL PRODUCTO</w:t>
      </w:r>
      <w:r w:rsidRPr="00A66DAD">
        <w:rPr>
          <w:rFonts w:eastAsia="Times New Roman"/>
          <w:b/>
          <w:color w:val="000000"/>
        </w:rPr>
        <w:t>:</w:t>
      </w:r>
      <w:r w:rsidRPr="00A66DAD">
        <w:rPr>
          <w:rFonts w:eastAsia="Times New Roman"/>
          <w:color w:val="000000"/>
        </w:rPr>
        <w:t xml:space="preserve"> </w:t>
      </w:r>
    </w:p>
    <w:p w14:paraId="2AB7109D" w14:textId="34BC9C9D" w:rsidR="002E2EA2" w:rsidRPr="00A66DAD" w:rsidRDefault="002E2EA2" w:rsidP="0093494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rPr>
        <w:lastRenderedPageBreak/>
        <w:t xml:space="preserve">Memoria de programas: </w:t>
      </w:r>
      <w:r w:rsidRPr="00A66DAD">
        <w:rPr>
          <w:rFonts w:eastAsia="Times New Roman"/>
          <w:color w:val="000000"/>
        </w:rPr>
        <w:t>se le otorgará el máximo puntaje previsto a la oferta que presente el equipo con la mayor capacidad para almacenar programas. Es decir, la oferta que tenga mayor cantidad de programas para almacenar, se llevará el máximo puntaje previsto. Las demás ofertas serán calificadas en función del criterio de la proporcionalidad.</w:t>
      </w:r>
    </w:p>
    <w:p w14:paraId="22293F3D" w14:textId="6BEB28AD" w:rsidR="0093494B" w:rsidRPr="00A66DAD" w:rsidRDefault="001E17D1" w:rsidP="0093494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rPr>
        <w:t>Capacidad de muestreo</w:t>
      </w:r>
      <w:r w:rsidR="0093494B" w:rsidRPr="00A66DAD">
        <w:rPr>
          <w:rFonts w:eastAsia="Times New Roman"/>
          <w:b/>
          <w:color w:val="000000"/>
        </w:rPr>
        <w:t xml:space="preserve">: </w:t>
      </w:r>
      <w:r w:rsidR="0093494B" w:rsidRPr="00A66DAD">
        <w:rPr>
          <w:rFonts w:eastAsia="Times New Roman"/>
          <w:color w:val="000000"/>
        </w:rPr>
        <w:t xml:space="preserve">se le otorgará el máximo puntaje previsto a la oferta que presente </w:t>
      </w:r>
      <w:r w:rsidR="000130C2" w:rsidRPr="00A66DAD">
        <w:rPr>
          <w:rFonts w:eastAsia="Times New Roman"/>
          <w:color w:val="000000"/>
        </w:rPr>
        <w:t>un equipo con la mayor cantidad de tubos muestrales</w:t>
      </w:r>
      <w:r w:rsidR="005630BE" w:rsidRPr="00A66DAD">
        <w:rPr>
          <w:rFonts w:eastAsia="Times New Roman"/>
          <w:color w:val="000000"/>
        </w:rPr>
        <w:t>, en función del mínimo establecido en el presente pliego</w:t>
      </w:r>
      <w:r w:rsidR="000130C2" w:rsidRPr="00A66DAD">
        <w:rPr>
          <w:rFonts w:eastAsia="Times New Roman"/>
          <w:color w:val="000000"/>
        </w:rPr>
        <w:t>. En el caso de existir pluralidad de ofertas con igual capacidad de muestreo, se las calificará idénticamente a todas. L</w:t>
      </w:r>
      <w:r w:rsidR="0093494B" w:rsidRPr="00A66DAD">
        <w:rPr>
          <w:rFonts w:eastAsia="Times New Roman"/>
          <w:color w:val="000000"/>
        </w:rPr>
        <w:t>as demás ofertas serán calificadas con el criterio de la proporcionalidad.</w:t>
      </w:r>
    </w:p>
    <w:p w14:paraId="4CAD724C" w14:textId="3EC30132" w:rsidR="00933845" w:rsidRPr="00A66DAD" w:rsidRDefault="001E17D1" w:rsidP="008508DD">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rPr>
        <w:t>Canales de detección</w:t>
      </w:r>
      <w:r w:rsidR="00933845" w:rsidRPr="00A66DAD">
        <w:rPr>
          <w:rFonts w:eastAsia="Times New Roman"/>
          <w:b/>
          <w:color w:val="000000"/>
        </w:rPr>
        <w:t xml:space="preserve">: </w:t>
      </w:r>
      <w:r w:rsidR="00933845" w:rsidRPr="00A66DAD">
        <w:rPr>
          <w:rFonts w:eastAsia="Times New Roman"/>
          <w:color w:val="000000"/>
        </w:rPr>
        <w:t xml:space="preserve">se le otorgará </w:t>
      </w:r>
      <w:r w:rsidR="000130C2" w:rsidRPr="00A66DAD">
        <w:rPr>
          <w:rFonts w:eastAsia="Times New Roman"/>
          <w:color w:val="000000"/>
        </w:rPr>
        <w:t>el máximo puntaje previsto a la oferta que presente la mayor cantidad de canales de detección</w:t>
      </w:r>
      <w:r w:rsidR="005630BE" w:rsidRPr="00A66DAD">
        <w:rPr>
          <w:rFonts w:eastAsia="Times New Roman"/>
          <w:color w:val="000000"/>
        </w:rPr>
        <w:t>, en función del mínimo establecido en el presente pliego</w:t>
      </w:r>
      <w:r w:rsidR="000130C2" w:rsidRPr="00A66DAD">
        <w:rPr>
          <w:rFonts w:eastAsia="Times New Roman"/>
          <w:color w:val="000000"/>
        </w:rPr>
        <w:t>. En el caso de existir pluralidad de ofertas con igual cantidad de canales de detección, se las calificará idénticamente a todas. Las demás ofertas serán calificadas en función del criterio de la proporcionalidad</w:t>
      </w:r>
      <w:r w:rsidR="00933845" w:rsidRPr="00A66DAD">
        <w:rPr>
          <w:rFonts w:eastAsia="Times New Roman"/>
          <w:color w:val="000000"/>
        </w:rPr>
        <w:t>.</w:t>
      </w:r>
    </w:p>
    <w:p w14:paraId="173AA90A" w14:textId="78DA97DF" w:rsidR="0093494B" w:rsidRPr="00A66DAD" w:rsidRDefault="005630BE" w:rsidP="0093494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rPr>
        <w:t>Tecnología de última generación</w:t>
      </w:r>
      <w:r w:rsidR="0093494B" w:rsidRPr="00A66DAD">
        <w:rPr>
          <w:rFonts w:eastAsia="Times New Roman"/>
          <w:b/>
          <w:color w:val="000000"/>
        </w:rPr>
        <w:t>:</w:t>
      </w:r>
      <w:r w:rsidR="00EE5427" w:rsidRPr="00A66DAD">
        <w:rPr>
          <w:rFonts w:eastAsia="Times New Roman"/>
          <w:b/>
          <w:color w:val="000000"/>
        </w:rPr>
        <w:t xml:space="preserve"> </w:t>
      </w:r>
      <w:r w:rsidR="00EE5427" w:rsidRPr="00A66DAD">
        <w:rPr>
          <w:rFonts w:eastAsia="Times New Roman"/>
          <w:color w:val="000000"/>
        </w:rPr>
        <w:t>se le</w:t>
      </w:r>
      <w:r w:rsidR="00C53BB2" w:rsidRPr="00A66DAD">
        <w:rPr>
          <w:rFonts w:eastAsia="Times New Roman"/>
          <w:color w:val="000000"/>
        </w:rPr>
        <w:t>s</w:t>
      </w:r>
      <w:r w:rsidR="00EE5427" w:rsidRPr="00A66DAD">
        <w:rPr>
          <w:rFonts w:eastAsia="Times New Roman"/>
          <w:color w:val="000000"/>
        </w:rPr>
        <w:t xml:space="preserve"> otorgará el máximo puntaje previsto a la</w:t>
      </w:r>
      <w:r w:rsidRPr="00A66DAD">
        <w:rPr>
          <w:rFonts w:eastAsia="Times New Roman"/>
          <w:color w:val="000000"/>
        </w:rPr>
        <w:t>s</w:t>
      </w:r>
      <w:r w:rsidR="00EE5427" w:rsidRPr="00A66DAD">
        <w:rPr>
          <w:rFonts w:eastAsia="Times New Roman"/>
          <w:color w:val="000000"/>
        </w:rPr>
        <w:t xml:space="preserve"> oferta</w:t>
      </w:r>
      <w:r w:rsidRPr="00A66DAD">
        <w:rPr>
          <w:rFonts w:eastAsia="Times New Roman"/>
          <w:color w:val="000000"/>
        </w:rPr>
        <w:t>s</w:t>
      </w:r>
      <w:r w:rsidR="00EE5427" w:rsidRPr="00A66DAD">
        <w:rPr>
          <w:rFonts w:eastAsia="Times New Roman"/>
          <w:color w:val="000000"/>
        </w:rPr>
        <w:t xml:space="preserve"> que presente</w:t>
      </w:r>
      <w:r w:rsidRPr="00A66DAD">
        <w:rPr>
          <w:rFonts w:eastAsia="Times New Roman"/>
          <w:color w:val="000000"/>
        </w:rPr>
        <w:t>n</w:t>
      </w:r>
      <w:r w:rsidR="00EE5427" w:rsidRPr="00A66DAD">
        <w:rPr>
          <w:rFonts w:eastAsia="Times New Roman"/>
          <w:color w:val="000000"/>
        </w:rPr>
        <w:t xml:space="preserve"> </w:t>
      </w:r>
      <w:r w:rsidRPr="00A66DAD">
        <w:rPr>
          <w:rFonts w:eastAsia="Times New Roman"/>
          <w:color w:val="000000"/>
        </w:rPr>
        <w:t>un equipo con una tecnología de última generación</w:t>
      </w:r>
      <w:r w:rsidR="000130C2" w:rsidRPr="00A66DAD">
        <w:rPr>
          <w:rFonts w:eastAsia="Times New Roman"/>
          <w:color w:val="000000"/>
        </w:rPr>
        <w:t>.</w:t>
      </w:r>
      <w:r w:rsidRPr="00A66DAD">
        <w:rPr>
          <w:rFonts w:eastAsia="Times New Roman"/>
          <w:color w:val="000000"/>
        </w:rPr>
        <w:t xml:space="preserve"> Lo que se va a evaluar es si el equipo presenta un sistema óptico de lámparas LED y detectores de fibra óptica</w:t>
      </w:r>
      <w:r w:rsidR="00FB2B7D" w:rsidRPr="00A66DAD">
        <w:rPr>
          <w:rFonts w:eastAsia="Times New Roman"/>
          <w:color w:val="000000"/>
        </w:rPr>
        <w:t xml:space="preserve"> (ambos)</w:t>
      </w:r>
      <w:r w:rsidRPr="00A66DAD">
        <w:rPr>
          <w:rFonts w:eastAsia="Times New Roman"/>
          <w:color w:val="000000"/>
        </w:rPr>
        <w:t>. Aquellas ofertas que no cumplan con este requisito, carecerán del puntaje.</w:t>
      </w:r>
    </w:p>
    <w:p w14:paraId="7501446A" w14:textId="6C746EA1" w:rsidR="002E2EA2" w:rsidRPr="00A66DAD" w:rsidRDefault="002E2EA2" w:rsidP="0093494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rPr>
        <w:t>Manual de uso:</w:t>
      </w:r>
      <w:r w:rsidRPr="00A66DAD">
        <w:rPr>
          <w:rFonts w:eastAsia="Times New Roman"/>
          <w:color w:val="000000"/>
        </w:rPr>
        <w:t xml:space="preserve"> se les otorgará el máximo puntaje previsto a las ofertas que presenten junto con el equipo manuales de uso que indiquen el correcto funcionamiento del mismo. Aquellas ofertas que no cumplan con este requisito, carecerán de este puntaje.</w:t>
      </w:r>
    </w:p>
    <w:p w14:paraId="53D16276" w14:textId="77777777" w:rsidR="00957833" w:rsidRPr="00A66DAD" w:rsidRDefault="001E17D1" w:rsidP="00957833">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rPr>
        <w:t>Garantía</w:t>
      </w:r>
      <w:r w:rsidR="00E25428" w:rsidRPr="00A66DAD">
        <w:rPr>
          <w:rFonts w:eastAsia="Times New Roman"/>
          <w:b/>
          <w:color w:val="000000"/>
        </w:rPr>
        <w:t>:</w:t>
      </w:r>
      <w:r w:rsidR="00E25428" w:rsidRPr="00A66DAD">
        <w:rPr>
          <w:rFonts w:eastAsia="Times New Roman"/>
          <w:color w:val="000000"/>
        </w:rPr>
        <w:t xml:space="preserve"> </w:t>
      </w:r>
      <w:r w:rsidR="00957833" w:rsidRPr="00A66DAD">
        <w:rPr>
          <w:rFonts w:eastAsia="Times New Roman"/>
          <w:color w:val="000000"/>
        </w:rPr>
        <w:t xml:space="preserve">se les otorgará el máximo puntaje previsto a las ofertas que presenten el mayor plazo de garantía por fallas </w:t>
      </w:r>
      <w:r w:rsidR="00957833" w:rsidRPr="00A66DAD">
        <w:rPr>
          <w:rFonts w:eastAsia="Times New Roman"/>
          <w:color w:val="000000"/>
        </w:rPr>
        <w:lastRenderedPageBreak/>
        <w:t>o defectos de funcionamiento del equipo a ofertar. Las demás ofertas serán calificadas en función del criterio de la proporcionalidad.</w:t>
      </w:r>
    </w:p>
    <w:p w14:paraId="79D62B4B" w14:textId="77521B12" w:rsidR="00137C8D" w:rsidRPr="00A66DAD"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u w:val="single"/>
        </w:rPr>
        <w:t>PLAZO DE ENTREGA</w:t>
      </w:r>
      <w:r w:rsidRPr="00A66DAD">
        <w:rPr>
          <w:rFonts w:eastAsia="Times New Roman"/>
          <w:b/>
          <w:color w:val="000000"/>
        </w:rPr>
        <w:t>:</w:t>
      </w:r>
      <w:r w:rsidRPr="00A66DAD">
        <w:rPr>
          <w:rFonts w:eastAsia="Times New Roman"/>
          <w:color w:val="000000"/>
        </w:rPr>
        <w:t xml:space="preserve"> Teniendo en cuenta el plazo de cumplimiento estipulado por el Pliego de Condiciones Particulares respecto de la obligación principal inherente al objeto de la contratación (la entrega de los bienes), se calificará co</w:t>
      </w:r>
      <w:r w:rsidR="00D87C68" w:rsidRPr="00A66DAD">
        <w:rPr>
          <w:rFonts w:eastAsia="Times New Roman"/>
          <w:color w:val="000000"/>
        </w:rPr>
        <w:t>n el máximo puntaje previsto (10</w:t>
      </w:r>
      <w:r w:rsidRPr="00A66DAD">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A66DAD">
        <w:rPr>
          <w:rFonts w:eastAsia="Times New Roman"/>
          <w:color w:val="000000"/>
        </w:rPr>
        <w:t>.</w:t>
      </w:r>
    </w:p>
    <w:p w14:paraId="0E162F3B" w14:textId="2CDB0AA1" w:rsidR="00AC48FA" w:rsidRPr="00A66DAD" w:rsidRDefault="00AC48FA" w:rsidP="00773C70">
      <w:pPr>
        <w:pBdr>
          <w:top w:val="nil"/>
          <w:left w:val="nil"/>
          <w:bottom w:val="nil"/>
          <w:right w:val="nil"/>
          <w:between w:val="nil"/>
        </w:pBdr>
        <w:spacing w:after="0" w:line="360" w:lineRule="auto"/>
        <w:ind w:left="360"/>
        <w:jc w:val="both"/>
        <w:rPr>
          <w:rFonts w:eastAsia="Times New Roman"/>
          <w:b/>
          <w:color w:val="000000"/>
        </w:rPr>
      </w:pPr>
      <w:r w:rsidRPr="00A66DAD">
        <w:rPr>
          <w:rFonts w:eastAsia="Times New Roman"/>
          <w:b/>
          <w:color w:val="000000"/>
        </w:rPr>
        <w:t xml:space="preserve">ATENCION: </w:t>
      </w:r>
      <w:r w:rsidR="000130C2" w:rsidRPr="00A66DAD">
        <w:rPr>
          <w:rFonts w:eastAsia="Arial"/>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A66DAD"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u w:val="single"/>
        </w:rPr>
        <w:t>ACREDITACION ODS s/LEY 9193</w:t>
      </w:r>
      <w:r w:rsidRPr="00A66DAD">
        <w:rPr>
          <w:rFonts w:eastAsia="Times New Roman"/>
          <w:b/>
          <w:color w:val="000000"/>
        </w:rPr>
        <w:t>:</w:t>
      </w:r>
      <w:r w:rsidRPr="00A66DAD">
        <w:rPr>
          <w:rFonts w:eastAsia="Times New Roman"/>
          <w:color w:val="000000"/>
        </w:rPr>
        <w:t xml:space="preserve"> </w:t>
      </w:r>
      <w:r w:rsidR="00C548F2" w:rsidRPr="00A66DAD">
        <w:rPr>
          <w:rFonts w:eastAsia="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A66DAD">
          <w:rPr>
            <w:rFonts w:eastAsia="Times New Roman"/>
            <w:color w:val="0000FF"/>
            <w:u w:val="single"/>
          </w:rPr>
          <w:t>https://www.un.org/sustainabledevelopment/es/objetivos-de-desarrollo-sostenible/</w:t>
        </w:r>
      </w:hyperlink>
      <w:r w:rsidR="00C548F2" w:rsidRPr="00A66DAD">
        <w:rPr>
          <w:rFonts w:eastAsia="Times New Roman"/>
          <w:color w:val="000000"/>
        </w:rPr>
        <w:t>).</w:t>
      </w:r>
    </w:p>
    <w:p w14:paraId="46990E1C" w14:textId="780DDF89" w:rsidR="00C548F2" w:rsidRPr="00A66DAD"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A66DAD">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A66DAD">
          <w:rPr>
            <w:rFonts w:eastAsia="Times New Roman"/>
            <w:color w:val="0000FF"/>
            <w:u w:val="single"/>
          </w:rPr>
          <w:t>https://www.mendoza.gov.ar/compras/compras-publicas-sustentables/</w:t>
        </w:r>
      </w:hyperlink>
      <w:r w:rsidRPr="00A66DAD">
        <w:rPr>
          <w:rFonts w:eastAsia="Times New Roman"/>
          <w:color w:val="000000"/>
        </w:rPr>
        <w:t xml:space="preserve">). A este efecto, se informan los siguientes </w:t>
      </w:r>
      <w:r w:rsidRPr="00A66DAD">
        <w:rPr>
          <w:rFonts w:eastAsia="Times New Roman"/>
          <w:color w:val="000000"/>
        </w:rPr>
        <w:lastRenderedPageBreak/>
        <w:t xml:space="preserve">ponderadores de calificación del desempeño empresario sustentable, adoptados por la Guía Elemental del Programa de Compras Sustentables de la Administración Provincial (ver: </w:t>
      </w:r>
      <w:hyperlink r:id="rId8" w:history="1">
        <w:r w:rsidRPr="00A66DAD">
          <w:rPr>
            <w:rFonts w:eastAsia="Times New Roman"/>
            <w:color w:val="0000FF"/>
            <w:u w:val="single"/>
          </w:rPr>
          <w:t>https://www.mendoza.gov.ar/compras/compras-publicas-sustentables/</w:t>
        </w:r>
      </w:hyperlink>
      <w:r w:rsidRPr="00A66DAD">
        <w:rPr>
          <w:rFonts w:eastAsia="Times New Roman"/>
          <w:color w:val="000000"/>
        </w:rPr>
        <w:t>): </w:t>
      </w:r>
    </w:p>
    <w:p w14:paraId="7C5ED222" w14:textId="0C24AA11" w:rsidR="00137C8D" w:rsidRPr="00A66DAD"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A66DAD">
        <w:rPr>
          <w:rFonts w:eastAsia="Times New Roman"/>
          <w:b/>
          <w:color w:val="000000"/>
          <w:u w:val="single"/>
        </w:rPr>
        <w:t>OFERTA ECONÓMICA - PRECIO</w:t>
      </w:r>
      <w:r w:rsidRPr="00A66DAD">
        <w:rPr>
          <w:rFonts w:eastAsia="Times New Roman"/>
          <w:b/>
          <w:color w:val="000000"/>
        </w:rPr>
        <w:t>:</w:t>
      </w:r>
      <w:r w:rsidRPr="00A66DAD">
        <w:rPr>
          <w:rFonts w:eastAsia="Times New Roman"/>
          <w:color w:val="000000"/>
        </w:rPr>
        <w:t xml:space="preserve"> Se puntuará con el puntaje máximo</w:t>
      </w:r>
      <w:r w:rsidR="009074F7" w:rsidRPr="00A66DAD">
        <w:rPr>
          <w:rFonts w:eastAsia="Times New Roman"/>
          <w:color w:val="000000"/>
        </w:rPr>
        <w:t xml:space="preserve"> (45</w:t>
      </w:r>
      <w:r w:rsidR="00D66F20" w:rsidRPr="00A66DAD">
        <w:rPr>
          <w:rFonts w:eastAsia="Times New Roman"/>
          <w:color w:val="000000"/>
        </w:rPr>
        <w:t xml:space="preserve"> </w:t>
      </w:r>
      <w:r w:rsidRPr="00A66DAD">
        <w:rPr>
          <w:rFonts w:eastAsia="Times New Roman"/>
          <w:color w:val="000000"/>
        </w:rPr>
        <w:t xml:space="preserve">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14:paraId="41A3E5D4" w14:textId="77777777" w:rsidR="00137C8D" w:rsidRPr="00A66DAD" w:rsidRDefault="00137C8D" w:rsidP="00137C8D">
      <w:pPr>
        <w:pBdr>
          <w:top w:val="nil"/>
          <w:left w:val="nil"/>
          <w:bottom w:val="nil"/>
          <w:right w:val="nil"/>
          <w:between w:val="nil"/>
        </w:pBdr>
        <w:spacing w:after="0" w:line="360" w:lineRule="auto"/>
        <w:jc w:val="both"/>
        <w:rPr>
          <w:rFonts w:eastAsia="Times New Roman"/>
          <w:color w:val="000000"/>
        </w:rPr>
      </w:pPr>
    </w:p>
    <w:p w14:paraId="0AB7669B" w14:textId="77777777" w:rsidR="00DB1FD4" w:rsidRPr="00A66DAD" w:rsidRDefault="008F27C1" w:rsidP="00D66F20">
      <w:pPr>
        <w:spacing w:line="360" w:lineRule="auto"/>
        <w:jc w:val="both"/>
        <w:rPr>
          <w:rFonts w:eastAsia="Times New Roman"/>
          <w:b/>
          <w:u w:val="single"/>
        </w:rPr>
      </w:pPr>
      <w:r w:rsidRPr="00A66DAD">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8E80ED1" w14:textId="77777777" w:rsidR="00DB1FD4" w:rsidRPr="00A66DAD" w:rsidRDefault="00DB1FD4" w:rsidP="00D66F20">
      <w:pPr>
        <w:spacing w:line="360" w:lineRule="auto"/>
        <w:ind w:left="360"/>
        <w:jc w:val="both"/>
      </w:pPr>
    </w:p>
    <w:p w14:paraId="398D3ED8" w14:textId="77777777" w:rsidR="00DB1FD4" w:rsidRPr="00A66DAD" w:rsidRDefault="00DB1FD4" w:rsidP="00D66F20">
      <w:pPr>
        <w:spacing w:line="360" w:lineRule="auto"/>
        <w:ind w:left="360"/>
        <w:jc w:val="both"/>
      </w:pPr>
    </w:p>
    <w:sectPr w:rsidR="00DB1FD4" w:rsidRPr="00A66DAD"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F13CE0"/>
    <w:multiLevelType w:val="hybridMultilevel"/>
    <w:tmpl w:val="8E8040E8"/>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6"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8" w15:restartNumberingAfterBreak="0">
    <w:nsid w:val="29DD356B"/>
    <w:multiLevelType w:val="hybridMultilevel"/>
    <w:tmpl w:val="5E3E0E6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9"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7145D6E"/>
    <w:multiLevelType w:val="hybridMultilevel"/>
    <w:tmpl w:val="3E64FB52"/>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8"/>
  </w:num>
  <w:num w:numId="2">
    <w:abstractNumId w:val="10"/>
  </w:num>
  <w:num w:numId="3">
    <w:abstractNumId w:val="14"/>
  </w:num>
  <w:num w:numId="4">
    <w:abstractNumId w:val="7"/>
  </w:num>
  <w:num w:numId="5">
    <w:abstractNumId w:val="0"/>
  </w:num>
  <w:num w:numId="6">
    <w:abstractNumId w:val="19"/>
  </w:num>
  <w:num w:numId="7">
    <w:abstractNumId w:val="1"/>
  </w:num>
  <w:num w:numId="8">
    <w:abstractNumId w:val="9"/>
  </w:num>
  <w:num w:numId="9">
    <w:abstractNumId w:val="15"/>
  </w:num>
  <w:num w:numId="10">
    <w:abstractNumId w:val="11"/>
  </w:num>
  <w:num w:numId="11">
    <w:abstractNumId w:val="16"/>
  </w:num>
  <w:num w:numId="12">
    <w:abstractNumId w:val="3"/>
  </w:num>
  <w:num w:numId="13">
    <w:abstractNumId w:val="13"/>
  </w:num>
  <w:num w:numId="14">
    <w:abstractNumId w:val="6"/>
  </w:num>
  <w:num w:numId="15">
    <w:abstractNumId w:val="2"/>
  </w:num>
  <w:num w:numId="16">
    <w:abstractNumId w:val="17"/>
  </w:num>
  <w:num w:numId="17">
    <w:abstractNumId w:val="8"/>
  </w:num>
  <w:num w:numId="18">
    <w:abstractNumId w:val="5"/>
  </w:num>
  <w:num w:numId="19">
    <w:abstractNumId w:val="20"/>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130C2"/>
    <w:rsid w:val="00016131"/>
    <w:rsid w:val="00040967"/>
    <w:rsid w:val="0004257D"/>
    <w:rsid w:val="000571A9"/>
    <w:rsid w:val="0006420A"/>
    <w:rsid w:val="00087CA6"/>
    <w:rsid w:val="00094DC7"/>
    <w:rsid w:val="00137C8D"/>
    <w:rsid w:val="00140544"/>
    <w:rsid w:val="0016241B"/>
    <w:rsid w:val="001E1041"/>
    <w:rsid w:val="001E17D1"/>
    <w:rsid w:val="00261649"/>
    <w:rsid w:val="0027040A"/>
    <w:rsid w:val="0029319C"/>
    <w:rsid w:val="002D6984"/>
    <w:rsid w:val="002E2EA2"/>
    <w:rsid w:val="0030431C"/>
    <w:rsid w:val="003C1459"/>
    <w:rsid w:val="003F4540"/>
    <w:rsid w:val="00407D27"/>
    <w:rsid w:val="00431FB0"/>
    <w:rsid w:val="004C3875"/>
    <w:rsid w:val="0055252C"/>
    <w:rsid w:val="005630BE"/>
    <w:rsid w:val="005926A5"/>
    <w:rsid w:val="005A5D66"/>
    <w:rsid w:val="006971DC"/>
    <w:rsid w:val="006A31BB"/>
    <w:rsid w:val="006B357D"/>
    <w:rsid w:val="0074404F"/>
    <w:rsid w:val="00773C70"/>
    <w:rsid w:val="00780C71"/>
    <w:rsid w:val="007A4CA1"/>
    <w:rsid w:val="007C287C"/>
    <w:rsid w:val="007C69D5"/>
    <w:rsid w:val="008C5EC0"/>
    <w:rsid w:val="008F27C1"/>
    <w:rsid w:val="009074F7"/>
    <w:rsid w:val="00933845"/>
    <w:rsid w:val="0093494B"/>
    <w:rsid w:val="00957833"/>
    <w:rsid w:val="009E52DE"/>
    <w:rsid w:val="00A30AD8"/>
    <w:rsid w:val="00A541F5"/>
    <w:rsid w:val="00A66DAD"/>
    <w:rsid w:val="00A81C06"/>
    <w:rsid w:val="00AC196A"/>
    <w:rsid w:val="00AC48FA"/>
    <w:rsid w:val="00AD4B22"/>
    <w:rsid w:val="00B5699C"/>
    <w:rsid w:val="00B93EAA"/>
    <w:rsid w:val="00BB654A"/>
    <w:rsid w:val="00BE1814"/>
    <w:rsid w:val="00C53BB2"/>
    <w:rsid w:val="00C548F2"/>
    <w:rsid w:val="00C94AE5"/>
    <w:rsid w:val="00CA2A9D"/>
    <w:rsid w:val="00CB397E"/>
    <w:rsid w:val="00CC4C03"/>
    <w:rsid w:val="00CF0F84"/>
    <w:rsid w:val="00D33279"/>
    <w:rsid w:val="00D651BD"/>
    <w:rsid w:val="00D66F20"/>
    <w:rsid w:val="00D87C68"/>
    <w:rsid w:val="00DB1FD4"/>
    <w:rsid w:val="00DB3399"/>
    <w:rsid w:val="00DC417F"/>
    <w:rsid w:val="00E01106"/>
    <w:rsid w:val="00E25428"/>
    <w:rsid w:val="00EA1E9E"/>
    <w:rsid w:val="00EB1656"/>
    <w:rsid w:val="00EE5427"/>
    <w:rsid w:val="00EF67B4"/>
    <w:rsid w:val="00F617CC"/>
    <w:rsid w:val="00F86B0E"/>
    <w:rsid w:val="00F941F7"/>
    <w:rsid w:val="00FA2857"/>
    <w:rsid w:val="00FB2B7D"/>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2024-02-27T16:01:00Z</dcterms:created>
  <dcterms:modified xsi:type="dcterms:W3CDTF">2024-02-27T16:01:00Z</dcterms:modified>
</cp:coreProperties>
</file>