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076CE" w14:textId="77777777" w:rsidR="001642C9" w:rsidRPr="001642C9" w:rsidRDefault="001642C9" w:rsidP="001642C9">
      <w:pPr>
        <w:spacing w:after="0" w:line="360" w:lineRule="auto"/>
        <w:jc w:val="center"/>
        <w:rPr>
          <w:rFonts w:ascii="Arial" w:eastAsia="Times New Roman" w:hAnsi="Arial" w:cs="Arial"/>
          <w:b/>
          <w:bCs/>
          <w:color w:val="000000"/>
          <w:sz w:val="24"/>
          <w:szCs w:val="24"/>
          <w:lang w:eastAsia="es-AR"/>
        </w:rPr>
      </w:pPr>
      <w:r w:rsidRPr="001642C9">
        <w:rPr>
          <w:rFonts w:ascii="Arial" w:eastAsia="Times New Roman" w:hAnsi="Arial" w:cs="Arial"/>
          <w:sz w:val="24"/>
          <w:szCs w:val="24"/>
          <w:lang w:eastAsia="es-AR"/>
        </w:rPr>
        <w:br/>
      </w:r>
      <w:r w:rsidRPr="001642C9">
        <w:rPr>
          <w:rFonts w:ascii="Arial" w:eastAsia="Times New Roman" w:hAnsi="Arial" w:cs="Arial"/>
          <w:b/>
          <w:bCs/>
          <w:color w:val="000000"/>
          <w:sz w:val="24"/>
          <w:szCs w:val="24"/>
          <w:lang w:eastAsia="es-AR"/>
        </w:rPr>
        <w:t>GRILLA DE EVALUACIÓN - ECÓGRAFOS PORTÁTILES</w:t>
      </w:r>
    </w:p>
    <w:p w14:paraId="6ADAB398" w14:textId="77777777" w:rsidR="001642C9" w:rsidRPr="001642C9" w:rsidRDefault="001642C9" w:rsidP="001642C9">
      <w:pPr>
        <w:spacing w:after="0" w:line="360" w:lineRule="auto"/>
        <w:jc w:val="both"/>
        <w:rPr>
          <w:rFonts w:ascii="Arial" w:eastAsia="Times New Roman" w:hAnsi="Arial" w:cs="Arial"/>
          <w:b/>
          <w:bCs/>
          <w:color w:val="000000"/>
          <w:sz w:val="24"/>
          <w:szCs w:val="24"/>
          <w:lang w:eastAsia="es-AR"/>
        </w:rPr>
      </w:pPr>
    </w:p>
    <w:tbl>
      <w:tblPr>
        <w:tblW w:w="6400" w:type="dxa"/>
        <w:jc w:val="center"/>
        <w:tblCellMar>
          <w:left w:w="70" w:type="dxa"/>
          <w:right w:w="70" w:type="dxa"/>
        </w:tblCellMar>
        <w:tblLook w:val="04A0" w:firstRow="1" w:lastRow="0" w:firstColumn="1" w:lastColumn="0" w:noHBand="0" w:noVBand="1"/>
      </w:tblPr>
      <w:tblGrid>
        <w:gridCol w:w="341"/>
        <w:gridCol w:w="4878"/>
        <w:gridCol w:w="1280"/>
      </w:tblGrid>
      <w:tr w:rsidR="001642C9" w:rsidRPr="001642C9" w14:paraId="77D1433E" w14:textId="77777777" w:rsidTr="00BA43A9">
        <w:trPr>
          <w:trHeight w:val="450"/>
          <w:jc w:val="center"/>
        </w:trPr>
        <w:tc>
          <w:tcPr>
            <w:tcW w:w="5120"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6328CA99" w14:textId="77777777" w:rsidR="001642C9" w:rsidRPr="001642C9" w:rsidRDefault="001642C9" w:rsidP="001642C9">
            <w:pPr>
              <w:spacing w:after="0" w:line="360" w:lineRule="auto"/>
              <w:jc w:val="both"/>
              <w:rPr>
                <w:rFonts w:ascii="Arial" w:eastAsia="Times New Roman" w:hAnsi="Arial" w:cs="Arial"/>
                <w:b/>
                <w:bCs/>
                <w:color w:val="000000"/>
                <w:sz w:val="24"/>
                <w:szCs w:val="24"/>
                <w:lang w:eastAsia="es-AR"/>
              </w:rPr>
            </w:pPr>
            <w:r w:rsidRPr="001642C9">
              <w:rPr>
                <w:rFonts w:ascii="Arial" w:eastAsia="Times New Roman" w:hAnsi="Arial" w:cs="Arial"/>
                <w:b/>
                <w:bCs/>
                <w:color w:val="000000"/>
                <w:sz w:val="24"/>
                <w:szCs w:val="24"/>
                <w:lang w:eastAsia="es-AR"/>
              </w:rPr>
              <w:t>CRITERIO</w:t>
            </w:r>
          </w:p>
        </w:tc>
        <w:tc>
          <w:tcPr>
            <w:tcW w:w="1280" w:type="dxa"/>
            <w:tcBorders>
              <w:top w:val="single" w:sz="8" w:space="0" w:color="auto"/>
              <w:left w:val="nil"/>
              <w:bottom w:val="single" w:sz="8" w:space="0" w:color="auto"/>
              <w:right w:val="single" w:sz="8" w:space="0" w:color="auto"/>
            </w:tcBorders>
            <w:shd w:val="clear" w:color="auto" w:fill="auto"/>
            <w:noWrap/>
            <w:vAlign w:val="center"/>
            <w:hideMark/>
          </w:tcPr>
          <w:p w14:paraId="2EF13D81" w14:textId="77777777" w:rsidR="001642C9" w:rsidRPr="001642C9" w:rsidRDefault="001642C9" w:rsidP="001642C9">
            <w:pPr>
              <w:spacing w:after="0" w:line="360" w:lineRule="auto"/>
              <w:jc w:val="both"/>
              <w:rPr>
                <w:rFonts w:ascii="Arial" w:eastAsia="Times New Roman" w:hAnsi="Arial" w:cs="Arial"/>
                <w:b/>
                <w:bCs/>
                <w:color w:val="000000"/>
                <w:sz w:val="24"/>
                <w:szCs w:val="24"/>
                <w:lang w:eastAsia="es-AR"/>
              </w:rPr>
            </w:pPr>
            <w:r w:rsidRPr="001642C9">
              <w:rPr>
                <w:rFonts w:ascii="Arial" w:eastAsia="Times New Roman" w:hAnsi="Arial" w:cs="Arial"/>
                <w:b/>
                <w:bCs/>
                <w:color w:val="000000"/>
                <w:sz w:val="24"/>
                <w:szCs w:val="24"/>
                <w:lang w:eastAsia="es-AR"/>
              </w:rPr>
              <w:t>PUNTAJE</w:t>
            </w:r>
          </w:p>
        </w:tc>
      </w:tr>
      <w:tr w:rsidR="001642C9" w:rsidRPr="001642C9" w14:paraId="39C712CE" w14:textId="77777777" w:rsidTr="00BA43A9">
        <w:trPr>
          <w:trHeight w:val="450"/>
          <w:jc w:val="center"/>
        </w:trPr>
        <w:tc>
          <w:tcPr>
            <w:tcW w:w="242" w:type="dxa"/>
            <w:tcBorders>
              <w:top w:val="single" w:sz="8" w:space="0" w:color="auto"/>
              <w:left w:val="single" w:sz="8" w:space="0" w:color="auto"/>
              <w:bottom w:val="single" w:sz="8" w:space="0" w:color="auto"/>
              <w:right w:val="nil"/>
            </w:tcBorders>
            <w:shd w:val="clear" w:color="auto" w:fill="auto"/>
            <w:noWrap/>
            <w:vAlign w:val="center"/>
            <w:hideMark/>
          </w:tcPr>
          <w:p w14:paraId="320DA95F" w14:textId="77777777" w:rsidR="001642C9" w:rsidRPr="001642C9" w:rsidRDefault="001642C9" w:rsidP="001642C9">
            <w:pPr>
              <w:spacing w:after="0" w:line="360" w:lineRule="auto"/>
              <w:jc w:val="both"/>
              <w:rPr>
                <w:rFonts w:ascii="Arial" w:eastAsia="Times New Roman" w:hAnsi="Arial" w:cs="Arial"/>
                <w:b/>
                <w:bCs/>
                <w:color w:val="000000"/>
                <w:sz w:val="24"/>
                <w:szCs w:val="24"/>
                <w:lang w:eastAsia="es-AR"/>
              </w:rPr>
            </w:pPr>
            <w:r w:rsidRPr="001642C9">
              <w:rPr>
                <w:rFonts w:ascii="Arial" w:eastAsia="Times New Roman" w:hAnsi="Arial" w:cs="Arial"/>
                <w:b/>
                <w:bCs/>
                <w:color w:val="000000"/>
                <w:sz w:val="24"/>
                <w:szCs w:val="24"/>
                <w:lang w:eastAsia="es-AR"/>
              </w:rPr>
              <w:t>1</w:t>
            </w:r>
          </w:p>
        </w:tc>
        <w:tc>
          <w:tcPr>
            <w:tcW w:w="487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276120" w14:textId="77777777" w:rsidR="001642C9" w:rsidRPr="001642C9" w:rsidRDefault="001642C9" w:rsidP="001642C9">
            <w:pPr>
              <w:spacing w:after="0" w:line="360" w:lineRule="auto"/>
              <w:jc w:val="both"/>
              <w:rPr>
                <w:rFonts w:ascii="Arial" w:eastAsia="Times New Roman" w:hAnsi="Arial" w:cs="Arial"/>
                <w:b/>
                <w:bCs/>
                <w:color w:val="000000"/>
                <w:sz w:val="24"/>
                <w:szCs w:val="24"/>
                <w:lang w:eastAsia="es-AR"/>
              </w:rPr>
            </w:pPr>
            <w:r w:rsidRPr="001642C9">
              <w:rPr>
                <w:rFonts w:ascii="Arial" w:eastAsia="Times New Roman" w:hAnsi="Arial" w:cs="Arial"/>
                <w:b/>
                <w:bCs/>
                <w:color w:val="000000"/>
                <w:sz w:val="24"/>
                <w:szCs w:val="24"/>
                <w:lang w:eastAsia="es-AR"/>
              </w:rPr>
              <w:t>Antecedentes </w:t>
            </w:r>
          </w:p>
        </w:tc>
        <w:tc>
          <w:tcPr>
            <w:tcW w:w="1280" w:type="dxa"/>
            <w:vMerge w:val="restart"/>
            <w:tcBorders>
              <w:top w:val="nil"/>
              <w:left w:val="nil"/>
              <w:bottom w:val="single" w:sz="8" w:space="0" w:color="000000"/>
              <w:right w:val="single" w:sz="8" w:space="0" w:color="auto"/>
            </w:tcBorders>
            <w:shd w:val="clear" w:color="auto" w:fill="auto"/>
            <w:noWrap/>
            <w:vAlign w:val="center"/>
            <w:hideMark/>
          </w:tcPr>
          <w:p w14:paraId="6EC5EAA1" w14:textId="77777777" w:rsidR="001642C9" w:rsidRPr="001642C9" w:rsidRDefault="001642C9" w:rsidP="001642C9">
            <w:pPr>
              <w:spacing w:after="0" w:line="360" w:lineRule="auto"/>
              <w:jc w:val="center"/>
              <w:rPr>
                <w:rFonts w:ascii="Arial" w:eastAsia="Times New Roman" w:hAnsi="Arial" w:cs="Arial"/>
                <w:color w:val="000000"/>
                <w:sz w:val="24"/>
                <w:szCs w:val="24"/>
                <w:lang w:eastAsia="es-AR"/>
              </w:rPr>
            </w:pPr>
            <w:r w:rsidRPr="001642C9">
              <w:rPr>
                <w:rFonts w:ascii="Arial" w:eastAsia="Times New Roman" w:hAnsi="Arial" w:cs="Arial"/>
                <w:color w:val="000000"/>
                <w:sz w:val="24"/>
                <w:szCs w:val="24"/>
                <w:lang w:eastAsia="es-AR"/>
              </w:rPr>
              <w:t>10</w:t>
            </w:r>
          </w:p>
        </w:tc>
      </w:tr>
      <w:tr w:rsidR="001642C9" w:rsidRPr="001642C9" w14:paraId="3796CE2E" w14:textId="77777777" w:rsidTr="00BA43A9">
        <w:trPr>
          <w:trHeight w:val="450"/>
          <w:jc w:val="center"/>
        </w:trPr>
        <w:tc>
          <w:tcPr>
            <w:tcW w:w="242" w:type="dxa"/>
            <w:tcBorders>
              <w:top w:val="nil"/>
              <w:left w:val="single" w:sz="4" w:space="0" w:color="auto"/>
              <w:bottom w:val="single" w:sz="4" w:space="0" w:color="auto"/>
              <w:right w:val="single" w:sz="4" w:space="0" w:color="auto"/>
            </w:tcBorders>
            <w:shd w:val="clear" w:color="auto" w:fill="auto"/>
            <w:noWrap/>
            <w:vAlign w:val="center"/>
            <w:hideMark/>
          </w:tcPr>
          <w:p w14:paraId="25294D77" w14:textId="77777777" w:rsidR="001642C9" w:rsidRPr="001642C9" w:rsidRDefault="001642C9" w:rsidP="001642C9">
            <w:pPr>
              <w:spacing w:after="0" w:line="360" w:lineRule="auto"/>
              <w:jc w:val="both"/>
              <w:rPr>
                <w:rFonts w:ascii="Arial" w:eastAsia="Times New Roman" w:hAnsi="Arial" w:cs="Arial"/>
                <w:color w:val="000000"/>
                <w:sz w:val="24"/>
                <w:szCs w:val="24"/>
                <w:lang w:eastAsia="es-AR"/>
              </w:rPr>
            </w:pPr>
            <w:r w:rsidRPr="001642C9">
              <w:rPr>
                <w:rFonts w:ascii="Arial" w:eastAsia="Times New Roman" w:hAnsi="Arial" w:cs="Arial"/>
                <w:color w:val="000000"/>
                <w:sz w:val="24"/>
                <w:szCs w:val="24"/>
                <w:lang w:eastAsia="es-AR"/>
              </w:rPr>
              <w:t>a.</w:t>
            </w:r>
          </w:p>
        </w:tc>
        <w:tc>
          <w:tcPr>
            <w:tcW w:w="4878" w:type="dxa"/>
            <w:tcBorders>
              <w:top w:val="nil"/>
              <w:left w:val="nil"/>
              <w:bottom w:val="single" w:sz="4" w:space="0" w:color="auto"/>
              <w:right w:val="single" w:sz="8" w:space="0" w:color="auto"/>
            </w:tcBorders>
            <w:shd w:val="clear" w:color="auto" w:fill="auto"/>
            <w:noWrap/>
            <w:vAlign w:val="center"/>
            <w:hideMark/>
          </w:tcPr>
          <w:p w14:paraId="3C8DA5E6" w14:textId="77777777" w:rsidR="001642C9" w:rsidRPr="001642C9" w:rsidRDefault="001642C9" w:rsidP="001642C9">
            <w:pPr>
              <w:spacing w:after="0" w:line="360" w:lineRule="auto"/>
              <w:jc w:val="both"/>
              <w:rPr>
                <w:rFonts w:ascii="Arial" w:eastAsia="Times New Roman" w:hAnsi="Arial" w:cs="Arial"/>
                <w:color w:val="000000"/>
                <w:sz w:val="24"/>
                <w:szCs w:val="24"/>
                <w:lang w:eastAsia="es-AR"/>
              </w:rPr>
            </w:pPr>
            <w:r w:rsidRPr="001642C9">
              <w:rPr>
                <w:rFonts w:ascii="Arial" w:eastAsia="Times New Roman" w:hAnsi="Arial" w:cs="Arial"/>
                <w:color w:val="000000"/>
                <w:sz w:val="24"/>
                <w:szCs w:val="24"/>
                <w:lang w:eastAsia="es-AR"/>
              </w:rPr>
              <w:t>a.  Contractuales (5)</w:t>
            </w:r>
          </w:p>
        </w:tc>
        <w:tc>
          <w:tcPr>
            <w:tcW w:w="1280" w:type="dxa"/>
            <w:vMerge/>
            <w:tcBorders>
              <w:top w:val="nil"/>
              <w:left w:val="nil"/>
              <w:bottom w:val="single" w:sz="8" w:space="0" w:color="000000"/>
              <w:right w:val="single" w:sz="8" w:space="0" w:color="auto"/>
            </w:tcBorders>
            <w:vAlign w:val="center"/>
            <w:hideMark/>
          </w:tcPr>
          <w:p w14:paraId="21222FF7" w14:textId="77777777" w:rsidR="001642C9" w:rsidRPr="001642C9" w:rsidRDefault="001642C9" w:rsidP="001642C9">
            <w:pPr>
              <w:spacing w:after="0" w:line="360" w:lineRule="auto"/>
              <w:jc w:val="center"/>
              <w:rPr>
                <w:rFonts w:ascii="Arial" w:eastAsia="Times New Roman" w:hAnsi="Arial" w:cs="Arial"/>
                <w:color w:val="000000"/>
                <w:sz w:val="24"/>
                <w:szCs w:val="24"/>
                <w:lang w:eastAsia="es-AR"/>
              </w:rPr>
            </w:pPr>
          </w:p>
        </w:tc>
      </w:tr>
      <w:tr w:rsidR="001642C9" w:rsidRPr="001642C9" w14:paraId="66374D86" w14:textId="77777777" w:rsidTr="00BA43A9">
        <w:trPr>
          <w:trHeight w:val="450"/>
          <w:jc w:val="center"/>
        </w:trPr>
        <w:tc>
          <w:tcPr>
            <w:tcW w:w="242" w:type="dxa"/>
            <w:tcBorders>
              <w:top w:val="nil"/>
              <w:left w:val="single" w:sz="4" w:space="0" w:color="auto"/>
              <w:bottom w:val="nil"/>
              <w:right w:val="single" w:sz="4" w:space="0" w:color="auto"/>
            </w:tcBorders>
            <w:shd w:val="clear" w:color="auto" w:fill="auto"/>
            <w:noWrap/>
            <w:vAlign w:val="center"/>
            <w:hideMark/>
          </w:tcPr>
          <w:p w14:paraId="2F707E13" w14:textId="77777777" w:rsidR="001642C9" w:rsidRPr="001642C9" w:rsidRDefault="001642C9" w:rsidP="001642C9">
            <w:pPr>
              <w:spacing w:after="0" w:line="360" w:lineRule="auto"/>
              <w:jc w:val="both"/>
              <w:rPr>
                <w:rFonts w:ascii="Arial" w:eastAsia="Times New Roman" w:hAnsi="Arial" w:cs="Arial"/>
                <w:color w:val="000000"/>
                <w:sz w:val="24"/>
                <w:szCs w:val="24"/>
                <w:lang w:eastAsia="es-AR"/>
              </w:rPr>
            </w:pPr>
            <w:r w:rsidRPr="001642C9">
              <w:rPr>
                <w:rFonts w:ascii="Arial" w:eastAsia="Times New Roman" w:hAnsi="Arial" w:cs="Arial"/>
                <w:color w:val="000000"/>
                <w:sz w:val="24"/>
                <w:szCs w:val="24"/>
                <w:lang w:eastAsia="es-AR"/>
              </w:rPr>
              <w:t>b.</w:t>
            </w:r>
          </w:p>
        </w:tc>
        <w:tc>
          <w:tcPr>
            <w:tcW w:w="4878" w:type="dxa"/>
            <w:tcBorders>
              <w:top w:val="nil"/>
              <w:left w:val="nil"/>
              <w:bottom w:val="nil"/>
              <w:right w:val="single" w:sz="8" w:space="0" w:color="auto"/>
            </w:tcBorders>
            <w:shd w:val="clear" w:color="auto" w:fill="auto"/>
            <w:noWrap/>
            <w:vAlign w:val="center"/>
            <w:hideMark/>
          </w:tcPr>
          <w:p w14:paraId="09A15DB2" w14:textId="77777777" w:rsidR="001642C9" w:rsidRPr="001642C9" w:rsidRDefault="001642C9" w:rsidP="001642C9">
            <w:pPr>
              <w:spacing w:after="0" w:line="360" w:lineRule="auto"/>
              <w:jc w:val="both"/>
              <w:rPr>
                <w:rFonts w:ascii="Arial" w:eastAsia="Times New Roman" w:hAnsi="Arial" w:cs="Arial"/>
                <w:color w:val="000000"/>
                <w:sz w:val="24"/>
                <w:szCs w:val="24"/>
                <w:lang w:eastAsia="es-AR"/>
              </w:rPr>
            </w:pPr>
            <w:r w:rsidRPr="001642C9">
              <w:rPr>
                <w:rFonts w:ascii="Arial" w:eastAsia="Times New Roman" w:hAnsi="Arial" w:cs="Arial"/>
                <w:color w:val="000000"/>
                <w:sz w:val="24"/>
                <w:szCs w:val="24"/>
                <w:lang w:eastAsia="es-AR"/>
              </w:rPr>
              <w:t>b.  Comerciales (5)</w:t>
            </w:r>
          </w:p>
        </w:tc>
        <w:tc>
          <w:tcPr>
            <w:tcW w:w="1280" w:type="dxa"/>
            <w:vMerge/>
            <w:tcBorders>
              <w:top w:val="nil"/>
              <w:left w:val="nil"/>
              <w:bottom w:val="single" w:sz="8" w:space="0" w:color="000000"/>
              <w:right w:val="single" w:sz="8" w:space="0" w:color="auto"/>
            </w:tcBorders>
            <w:vAlign w:val="center"/>
            <w:hideMark/>
          </w:tcPr>
          <w:p w14:paraId="0E943163" w14:textId="77777777" w:rsidR="001642C9" w:rsidRPr="001642C9" w:rsidRDefault="001642C9" w:rsidP="001642C9">
            <w:pPr>
              <w:spacing w:after="0" w:line="360" w:lineRule="auto"/>
              <w:jc w:val="center"/>
              <w:rPr>
                <w:rFonts w:ascii="Arial" w:eastAsia="Times New Roman" w:hAnsi="Arial" w:cs="Arial"/>
                <w:color w:val="000000"/>
                <w:sz w:val="24"/>
                <w:szCs w:val="24"/>
                <w:lang w:eastAsia="es-AR"/>
              </w:rPr>
            </w:pPr>
          </w:p>
        </w:tc>
      </w:tr>
      <w:tr w:rsidR="001642C9" w:rsidRPr="001642C9" w14:paraId="612AFAC8" w14:textId="77777777" w:rsidTr="00BA43A9">
        <w:trPr>
          <w:trHeight w:val="450"/>
          <w:jc w:val="center"/>
        </w:trPr>
        <w:tc>
          <w:tcPr>
            <w:tcW w:w="24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A5EE1C" w14:textId="77777777" w:rsidR="001642C9" w:rsidRPr="001642C9" w:rsidRDefault="001642C9" w:rsidP="001642C9">
            <w:pPr>
              <w:spacing w:after="0" w:line="360" w:lineRule="auto"/>
              <w:jc w:val="both"/>
              <w:rPr>
                <w:rFonts w:ascii="Arial" w:eastAsia="Times New Roman" w:hAnsi="Arial" w:cs="Arial"/>
                <w:b/>
                <w:bCs/>
                <w:color w:val="000000"/>
                <w:sz w:val="24"/>
                <w:szCs w:val="24"/>
                <w:lang w:eastAsia="es-AR"/>
              </w:rPr>
            </w:pPr>
            <w:r w:rsidRPr="001642C9">
              <w:rPr>
                <w:rFonts w:ascii="Arial" w:eastAsia="Times New Roman" w:hAnsi="Arial" w:cs="Arial"/>
                <w:b/>
                <w:bCs/>
                <w:color w:val="000000"/>
                <w:sz w:val="24"/>
                <w:szCs w:val="24"/>
                <w:lang w:eastAsia="es-AR"/>
              </w:rPr>
              <w:t>2</w:t>
            </w:r>
          </w:p>
        </w:tc>
        <w:tc>
          <w:tcPr>
            <w:tcW w:w="4878" w:type="dxa"/>
            <w:tcBorders>
              <w:top w:val="single" w:sz="8" w:space="0" w:color="auto"/>
              <w:left w:val="nil"/>
              <w:bottom w:val="single" w:sz="8" w:space="0" w:color="auto"/>
              <w:right w:val="single" w:sz="8" w:space="0" w:color="auto"/>
            </w:tcBorders>
            <w:shd w:val="clear" w:color="auto" w:fill="auto"/>
            <w:noWrap/>
            <w:vAlign w:val="center"/>
            <w:hideMark/>
          </w:tcPr>
          <w:p w14:paraId="62AC9F9B" w14:textId="77777777" w:rsidR="001642C9" w:rsidRPr="001642C9" w:rsidRDefault="001642C9" w:rsidP="001642C9">
            <w:pPr>
              <w:spacing w:after="0" w:line="360" w:lineRule="auto"/>
              <w:jc w:val="both"/>
              <w:rPr>
                <w:rFonts w:ascii="Arial" w:eastAsia="Times New Roman" w:hAnsi="Arial" w:cs="Arial"/>
                <w:b/>
                <w:bCs/>
                <w:color w:val="000000"/>
                <w:sz w:val="24"/>
                <w:szCs w:val="24"/>
                <w:lang w:eastAsia="es-AR"/>
              </w:rPr>
            </w:pPr>
            <w:r w:rsidRPr="001642C9">
              <w:rPr>
                <w:rFonts w:ascii="Arial" w:eastAsia="Times New Roman" w:hAnsi="Arial" w:cs="Arial"/>
                <w:b/>
                <w:bCs/>
                <w:color w:val="000000"/>
                <w:sz w:val="24"/>
                <w:szCs w:val="24"/>
                <w:lang w:eastAsia="es-AR"/>
              </w:rPr>
              <w:t>Periodo de garantía</w:t>
            </w:r>
          </w:p>
        </w:tc>
        <w:tc>
          <w:tcPr>
            <w:tcW w:w="1280" w:type="dxa"/>
            <w:tcBorders>
              <w:top w:val="nil"/>
              <w:left w:val="nil"/>
              <w:bottom w:val="nil"/>
              <w:right w:val="single" w:sz="8" w:space="0" w:color="auto"/>
            </w:tcBorders>
            <w:shd w:val="clear" w:color="auto" w:fill="auto"/>
            <w:noWrap/>
            <w:vAlign w:val="center"/>
            <w:hideMark/>
          </w:tcPr>
          <w:p w14:paraId="1373EBD5" w14:textId="77777777" w:rsidR="001642C9" w:rsidRPr="001642C9" w:rsidRDefault="001642C9" w:rsidP="001642C9">
            <w:pPr>
              <w:spacing w:after="0" w:line="360" w:lineRule="auto"/>
              <w:jc w:val="center"/>
              <w:rPr>
                <w:rFonts w:ascii="Arial" w:eastAsia="Times New Roman" w:hAnsi="Arial" w:cs="Arial"/>
                <w:color w:val="000000"/>
                <w:sz w:val="24"/>
                <w:szCs w:val="24"/>
                <w:lang w:eastAsia="es-AR"/>
              </w:rPr>
            </w:pPr>
            <w:r w:rsidRPr="001642C9">
              <w:rPr>
                <w:rFonts w:ascii="Arial" w:eastAsia="Times New Roman" w:hAnsi="Arial" w:cs="Arial"/>
                <w:color w:val="000000"/>
                <w:sz w:val="24"/>
                <w:szCs w:val="24"/>
                <w:lang w:eastAsia="es-AR"/>
              </w:rPr>
              <w:t>5</w:t>
            </w:r>
          </w:p>
        </w:tc>
      </w:tr>
      <w:tr w:rsidR="001642C9" w:rsidRPr="001642C9" w14:paraId="61AE2D5C" w14:textId="77777777" w:rsidTr="00BA43A9">
        <w:trPr>
          <w:trHeight w:val="450"/>
          <w:jc w:val="center"/>
        </w:trPr>
        <w:tc>
          <w:tcPr>
            <w:tcW w:w="242" w:type="dxa"/>
            <w:tcBorders>
              <w:top w:val="nil"/>
              <w:left w:val="single" w:sz="8" w:space="0" w:color="auto"/>
              <w:bottom w:val="single" w:sz="8" w:space="0" w:color="auto"/>
              <w:right w:val="single" w:sz="8" w:space="0" w:color="auto"/>
            </w:tcBorders>
            <w:shd w:val="clear" w:color="auto" w:fill="auto"/>
            <w:noWrap/>
            <w:vAlign w:val="center"/>
            <w:hideMark/>
          </w:tcPr>
          <w:p w14:paraId="48E3B188" w14:textId="77777777" w:rsidR="001642C9" w:rsidRPr="001642C9" w:rsidRDefault="001642C9" w:rsidP="001642C9">
            <w:pPr>
              <w:spacing w:after="0" w:line="360" w:lineRule="auto"/>
              <w:jc w:val="both"/>
              <w:rPr>
                <w:rFonts w:ascii="Arial" w:eastAsia="Times New Roman" w:hAnsi="Arial" w:cs="Arial"/>
                <w:b/>
                <w:bCs/>
                <w:color w:val="000000"/>
                <w:sz w:val="24"/>
                <w:szCs w:val="24"/>
                <w:lang w:eastAsia="es-AR"/>
              </w:rPr>
            </w:pPr>
            <w:r w:rsidRPr="001642C9">
              <w:rPr>
                <w:rFonts w:ascii="Arial" w:eastAsia="Times New Roman" w:hAnsi="Arial" w:cs="Arial"/>
                <w:b/>
                <w:bCs/>
                <w:color w:val="000000"/>
                <w:sz w:val="24"/>
                <w:szCs w:val="24"/>
                <w:lang w:eastAsia="es-AR"/>
              </w:rPr>
              <w:t>3</w:t>
            </w:r>
          </w:p>
        </w:tc>
        <w:tc>
          <w:tcPr>
            <w:tcW w:w="4878" w:type="dxa"/>
            <w:tcBorders>
              <w:top w:val="nil"/>
              <w:left w:val="nil"/>
              <w:bottom w:val="single" w:sz="8" w:space="0" w:color="auto"/>
              <w:right w:val="single" w:sz="8" w:space="0" w:color="auto"/>
            </w:tcBorders>
            <w:shd w:val="clear" w:color="auto" w:fill="auto"/>
            <w:noWrap/>
            <w:vAlign w:val="center"/>
            <w:hideMark/>
          </w:tcPr>
          <w:p w14:paraId="621E974E" w14:textId="77777777" w:rsidR="001642C9" w:rsidRPr="001642C9" w:rsidRDefault="001642C9" w:rsidP="001642C9">
            <w:pPr>
              <w:spacing w:after="0" w:line="360" w:lineRule="auto"/>
              <w:jc w:val="both"/>
              <w:rPr>
                <w:rFonts w:ascii="Arial" w:eastAsia="Times New Roman" w:hAnsi="Arial" w:cs="Arial"/>
                <w:b/>
                <w:bCs/>
                <w:color w:val="000000"/>
                <w:sz w:val="24"/>
                <w:szCs w:val="24"/>
                <w:lang w:eastAsia="es-AR"/>
              </w:rPr>
            </w:pPr>
            <w:r w:rsidRPr="001642C9">
              <w:rPr>
                <w:rFonts w:ascii="Arial" w:eastAsia="Times New Roman" w:hAnsi="Arial" w:cs="Arial"/>
                <w:b/>
                <w:bCs/>
                <w:color w:val="000000"/>
                <w:sz w:val="24"/>
                <w:szCs w:val="24"/>
                <w:lang w:eastAsia="es-AR"/>
              </w:rPr>
              <w:t>Calidad del equipo</w:t>
            </w:r>
          </w:p>
        </w:tc>
        <w:tc>
          <w:tcPr>
            <w:tcW w:w="1280" w:type="dxa"/>
            <w:vMerge w:val="restart"/>
            <w:tcBorders>
              <w:top w:val="single" w:sz="8" w:space="0" w:color="auto"/>
              <w:left w:val="nil"/>
              <w:bottom w:val="single" w:sz="8" w:space="0" w:color="000000"/>
              <w:right w:val="single" w:sz="8" w:space="0" w:color="auto"/>
            </w:tcBorders>
            <w:shd w:val="clear" w:color="auto" w:fill="auto"/>
            <w:noWrap/>
            <w:vAlign w:val="center"/>
            <w:hideMark/>
          </w:tcPr>
          <w:p w14:paraId="4A9F7090" w14:textId="77777777" w:rsidR="001642C9" w:rsidRPr="001642C9" w:rsidRDefault="001642C9" w:rsidP="001642C9">
            <w:pPr>
              <w:spacing w:after="0" w:line="360" w:lineRule="auto"/>
              <w:jc w:val="center"/>
              <w:rPr>
                <w:rFonts w:ascii="Arial" w:eastAsia="Times New Roman" w:hAnsi="Arial" w:cs="Arial"/>
                <w:color w:val="000000"/>
                <w:sz w:val="24"/>
                <w:szCs w:val="24"/>
                <w:lang w:eastAsia="es-AR"/>
              </w:rPr>
            </w:pPr>
            <w:r w:rsidRPr="001642C9">
              <w:rPr>
                <w:rFonts w:ascii="Arial" w:eastAsia="Times New Roman" w:hAnsi="Arial" w:cs="Arial"/>
                <w:color w:val="000000"/>
                <w:sz w:val="24"/>
                <w:szCs w:val="24"/>
                <w:lang w:eastAsia="es-AR"/>
              </w:rPr>
              <w:t>30</w:t>
            </w:r>
          </w:p>
        </w:tc>
      </w:tr>
      <w:tr w:rsidR="001642C9" w:rsidRPr="001642C9" w14:paraId="2F876572" w14:textId="77777777" w:rsidTr="00BA43A9">
        <w:trPr>
          <w:trHeight w:val="450"/>
          <w:jc w:val="center"/>
        </w:trPr>
        <w:tc>
          <w:tcPr>
            <w:tcW w:w="242" w:type="dxa"/>
            <w:tcBorders>
              <w:top w:val="nil"/>
              <w:left w:val="single" w:sz="8" w:space="0" w:color="auto"/>
              <w:bottom w:val="single" w:sz="4" w:space="0" w:color="auto"/>
              <w:right w:val="single" w:sz="4" w:space="0" w:color="auto"/>
            </w:tcBorders>
            <w:shd w:val="clear" w:color="auto" w:fill="auto"/>
            <w:noWrap/>
            <w:vAlign w:val="center"/>
            <w:hideMark/>
          </w:tcPr>
          <w:p w14:paraId="720F1595" w14:textId="77777777" w:rsidR="001642C9" w:rsidRPr="001642C9" w:rsidRDefault="001642C9" w:rsidP="001642C9">
            <w:pPr>
              <w:spacing w:after="0" w:line="360" w:lineRule="auto"/>
              <w:jc w:val="both"/>
              <w:rPr>
                <w:rFonts w:ascii="Arial" w:eastAsia="Times New Roman" w:hAnsi="Arial" w:cs="Arial"/>
                <w:color w:val="000000"/>
                <w:sz w:val="24"/>
                <w:szCs w:val="24"/>
                <w:lang w:eastAsia="es-AR"/>
              </w:rPr>
            </w:pPr>
            <w:r w:rsidRPr="001642C9">
              <w:rPr>
                <w:rFonts w:ascii="Arial" w:eastAsia="Times New Roman" w:hAnsi="Arial" w:cs="Arial"/>
                <w:color w:val="000000"/>
                <w:sz w:val="24"/>
                <w:szCs w:val="24"/>
                <w:lang w:eastAsia="es-AR"/>
              </w:rPr>
              <w:t>a.</w:t>
            </w:r>
          </w:p>
        </w:tc>
        <w:tc>
          <w:tcPr>
            <w:tcW w:w="4878" w:type="dxa"/>
            <w:tcBorders>
              <w:top w:val="nil"/>
              <w:left w:val="nil"/>
              <w:bottom w:val="single" w:sz="4" w:space="0" w:color="auto"/>
              <w:right w:val="single" w:sz="4" w:space="0" w:color="auto"/>
            </w:tcBorders>
            <w:shd w:val="clear" w:color="auto" w:fill="auto"/>
            <w:noWrap/>
            <w:vAlign w:val="center"/>
            <w:hideMark/>
          </w:tcPr>
          <w:p w14:paraId="47BBFC4D" w14:textId="77777777" w:rsidR="001642C9" w:rsidRPr="001642C9" w:rsidRDefault="001642C9" w:rsidP="001642C9">
            <w:pPr>
              <w:spacing w:after="0" w:line="360" w:lineRule="auto"/>
              <w:jc w:val="both"/>
              <w:rPr>
                <w:rFonts w:ascii="Arial" w:eastAsia="Times New Roman" w:hAnsi="Arial" w:cs="Arial"/>
                <w:color w:val="000000"/>
                <w:sz w:val="24"/>
                <w:szCs w:val="24"/>
                <w:lang w:eastAsia="es-AR"/>
              </w:rPr>
            </w:pPr>
            <w:r w:rsidRPr="001642C9">
              <w:rPr>
                <w:rFonts w:ascii="Arial" w:eastAsia="Times New Roman" w:hAnsi="Arial" w:cs="Arial"/>
                <w:color w:val="000000"/>
                <w:sz w:val="24"/>
                <w:szCs w:val="24"/>
                <w:lang w:eastAsia="es-AR"/>
              </w:rPr>
              <w:t>Resolución de la imagen del monitor (5)</w:t>
            </w:r>
          </w:p>
        </w:tc>
        <w:tc>
          <w:tcPr>
            <w:tcW w:w="1280" w:type="dxa"/>
            <w:vMerge/>
            <w:tcBorders>
              <w:top w:val="single" w:sz="8" w:space="0" w:color="auto"/>
              <w:left w:val="nil"/>
              <w:bottom w:val="single" w:sz="8" w:space="0" w:color="000000"/>
              <w:right w:val="single" w:sz="8" w:space="0" w:color="auto"/>
            </w:tcBorders>
            <w:vAlign w:val="center"/>
            <w:hideMark/>
          </w:tcPr>
          <w:p w14:paraId="11CAE387" w14:textId="77777777" w:rsidR="001642C9" w:rsidRPr="001642C9" w:rsidRDefault="001642C9" w:rsidP="001642C9">
            <w:pPr>
              <w:spacing w:after="0" w:line="360" w:lineRule="auto"/>
              <w:jc w:val="center"/>
              <w:rPr>
                <w:rFonts w:ascii="Arial" w:eastAsia="Times New Roman" w:hAnsi="Arial" w:cs="Arial"/>
                <w:color w:val="000000"/>
                <w:sz w:val="24"/>
                <w:szCs w:val="24"/>
                <w:lang w:eastAsia="es-AR"/>
              </w:rPr>
            </w:pPr>
          </w:p>
        </w:tc>
      </w:tr>
      <w:tr w:rsidR="001642C9" w:rsidRPr="001642C9" w14:paraId="4C35DBE9" w14:textId="77777777" w:rsidTr="00BA43A9">
        <w:trPr>
          <w:trHeight w:val="450"/>
          <w:jc w:val="center"/>
        </w:trPr>
        <w:tc>
          <w:tcPr>
            <w:tcW w:w="242" w:type="dxa"/>
            <w:tcBorders>
              <w:top w:val="nil"/>
              <w:left w:val="single" w:sz="8" w:space="0" w:color="auto"/>
              <w:bottom w:val="single" w:sz="4" w:space="0" w:color="auto"/>
              <w:right w:val="single" w:sz="4" w:space="0" w:color="auto"/>
            </w:tcBorders>
            <w:shd w:val="clear" w:color="auto" w:fill="auto"/>
            <w:noWrap/>
            <w:vAlign w:val="center"/>
            <w:hideMark/>
          </w:tcPr>
          <w:p w14:paraId="784B911D" w14:textId="77777777" w:rsidR="001642C9" w:rsidRPr="001642C9" w:rsidRDefault="001642C9" w:rsidP="001642C9">
            <w:pPr>
              <w:spacing w:after="0" w:line="360" w:lineRule="auto"/>
              <w:jc w:val="both"/>
              <w:rPr>
                <w:rFonts w:ascii="Arial" w:eastAsia="Times New Roman" w:hAnsi="Arial" w:cs="Arial"/>
                <w:color w:val="000000"/>
                <w:sz w:val="24"/>
                <w:szCs w:val="24"/>
                <w:lang w:eastAsia="es-AR"/>
              </w:rPr>
            </w:pPr>
            <w:r w:rsidRPr="001642C9">
              <w:rPr>
                <w:rFonts w:ascii="Arial" w:eastAsia="Times New Roman" w:hAnsi="Arial" w:cs="Arial"/>
                <w:color w:val="000000"/>
                <w:sz w:val="24"/>
                <w:szCs w:val="24"/>
                <w:lang w:eastAsia="es-AR"/>
              </w:rPr>
              <w:t>b.</w:t>
            </w:r>
          </w:p>
        </w:tc>
        <w:tc>
          <w:tcPr>
            <w:tcW w:w="4878" w:type="dxa"/>
            <w:tcBorders>
              <w:top w:val="nil"/>
              <w:left w:val="nil"/>
              <w:bottom w:val="single" w:sz="4" w:space="0" w:color="auto"/>
              <w:right w:val="single" w:sz="4" w:space="0" w:color="auto"/>
            </w:tcBorders>
            <w:shd w:val="clear" w:color="auto" w:fill="auto"/>
            <w:noWrap/>
            <w:vAlign w:val="center"/>
            <w:hideMark/>
          </w:tcPr>
          <w:p w14:paraId="060B096A" w14:textId="77777777" w:rsidR="001642C9" w:rsidRPr="001642C9" w:rsidRDefault="001642C9" w:rsidP="001642C9">
            <w:pPr>
              <w:spacing w:after="0" w:line="360" w:lineRule="auto"/>
              <w:jc w:val="both"/>
              <w:rPr>
                <w:rFonts w:ascii="Arial" w:eastAsia="Times New Roman" w:hAnsi="Arial" w:cs="Arial"/>
                <w:color w:val="000000"/>
                <w:sz w:val="24"/>
                <w:szCs w:val="24"/>
                <w:lang w:eastAsia="es-AR"/>
              </w:rPr>
            </w:pPr>
            <w:r w:rsidRPr="001642C9">
              <w:rPr>
                <w:rFonts w:ascii="Arial" w:eastAsia="Times New Roman" w:hAnsi="Arial" w:cs="Arial"/>
                <w:color w:val="000000"/>
                <w:sz w:val="24"/>
                <w:szCs w:val="24"/>
                <w:lang w:eastAsia="es-AR"/>
              </w:rPr>
              <w:t>Modos de trabajo (5)</w:t>
            </w:r>
          </w:p>
        </w:tc>
        <w:tc>
          <w:tcPr>
            <w:tcW w:w="1280" w:type="dxa"/>
            <w:vMerge/>
            <w:tcBorders>
              <w:top w:val="single" w:sz="8" w:space="0" w:color="auto"/>
              <w:left w:val="nil"/>
              <w:bottom w:val="single" w:sz="8" w:space="0" w:color="000000"/>
              <w:right w:val="single" w:sz="8" w:space="0" w:color="auto"/>
            </w:tcBorders>
            <w:vAlign w:val="center"/>
            <w:hideMark/>
          </w:tcPr>
          <w:p w14:paraId="7074CEFE" w14:textId="77777777" w:rsidR="001642C9" w:rsidRPr="001642C9" w:rsidRDefault="001642C9" w:rsidP="001642C9">
            <w:pPr>
              <w:spacing w:after="0" w:line="360" w:lineRule="auto"/>
              <w:jc w:val="center"/>
              <w:rPr>
                <w:rFonts w:ascii="Arial" w:eastAsia="Times New Roman" w:hAnsi="Arial" w:cs="Arial"/>
                <w:color w:val="000000"/>
                <w:sz w:val="24"/>
                <w:szCs w:val="24"/>
                <w:lang w:eastAsia="es-AR"/>
              </w:rPr>
            </w:pPr>
          </w:p>
        </w:tc>
      </w:tr>
      <w:tr w:rsidR="001642C9" w:rsidRPr="001642C9" w14:paraId="64528FAD" w14:textId="77777777" w:rsidTr="00BA43A9">
        <w:trPr>
          <w:trHeight w:val="450"/>
          <w:jc w:val="center"/>
        </w:trPr>
        <w:tc>
          <w:tcPr>
            <w:tcW w:w="242" w:type="dxa"/>
            <w:tcBorders>
              <w:top w:val="nil"/>
              <w:left w:val="single" w:sz="8" w:space="0" w:color="auto"/>
              <w:bottom w:val="single" w:sz="4" w:space="0" w:color="auto"/>
              <w:right w:val="single" w:sz="4" w:space="0" w:color="auto"/>
            </w:tcBorders>
            <w:shd w:val="clear" w:color="auto" w:fill="auto"/>
            <w:noWrap/>
            <w:vAlign w:val="center"/>
            <w:hideMark/>
          </w:tcPr>
          <w:p w14:paraId="49425A60" w14:textId="77777777" w:rsidR="001642C9" w:rsidRPr="001642C9" w:rsidRDefault="001642C9" w:rsidP="001642C9">
            <w:pPr>
              <w:spacing w:after="0" w:line="360" w:lineRule="auto"/>
              <w:jc w:val="both"/>
              <w:rPr>
                <w:rFonts w:ascii="Arial" w:eastAsia="Times New Roman" w:hAnsi="Arial" w:cs="Arial"/>
                <w:color w:val="000000"/>
                <w:sz w:val="24"/>
                <w:szCs w:val="24"/>
                <w:lang w:eastAsia="es-AR"/>
              </w:rPr>
            </w:pPr>
            <w:r w:rsidRPr="001642C9">
              <w:rPr>
                <w:rFonts w:ascii="Arial" w:eastAsia="Times New Roman" w:hAnsi="Arial" w:cs="Arial"/>
                <w:color w:val="000000"/>
                <w:sz w:val="24"/>
                <w:szCs w:val="24"/>
                <w:lang w:eastAsia="es-AR"/>
              </w:rPr>
              <w:t>c.</w:t>
            </w:r>
          </w:p>
        </w:tc>
        <w:tc>
          <w:tcPr>
            <w:tcW w:w="4878" w:type="dxa"/>
            <w:tcBorders>
              <w:top w:val="nil"/>
              <w:left w:val="nil"/>
              <w:bottom w:val="single" w:sz="4" w:space="0" w:color="auto"/>
              <w:right w:val="single" w:sz="4" w:space="0" w:color="auto"/>
            </w:tcBorders>
            <w:shd w:val="clear" w:color="auto" w:fill="auto"/>
            <w:noWrap/>
            <w:vAlign w:val="center"/>
            <w:hideMark/>
          </w:tcPr>
          <w:p w14:paraId="119201D3" w14:textId="77777777" w:rsidR="001642C9" w:rsidRPr="001642C9" w:rsidRDefault="001642C9" w:rsidP="001642C9">
            <w:pPr>
              <w:spacing w:after="0" w:line="360" w:lineRule="auto"/>
              <w:jc w:val="both"/>
              <w:rPr>
                <w:rFonts w:ascii="Arial" w:eastAsia="Times New Roman" w:hAnsi="Arial" w:cs="Arial"/>
                <w:color w:val="000000"/>
                <w:sz w:val="24"/>
                <w:szCs w:val="24"/>
                <w:lang w:eastAsia="es-AR"/>
              </w:rPr>
            </w:pPr>
            <w:r w:rsidRPr="001642C9">
              <w:rPr>
                <w:rFonts w:ascii="Arial" w:eastAsia="Times New Roman" w:hAnsi="Arial" w:cs="Arial"/>
                <w:color w:val="000000"/>
                <w:sz w:val="24"/>
                <w:szCs w:val="24"/>
                <w:lang w:eastAsia="es-AR"/>
              </w:rPr>
              <w:t>Frecuencia del transductor (5)</w:t>
            </w:r>
          </w:p>
        </w:tc>
        <w:tc>
          <w:tcPr>
            <w:tcW w:w="1280" w:type="dxa"/>
            <w:vMerge/>
            <w:tcBorders>
              <w:top w:val="single" w:sz="8" w:space="0" w:color="auto"/>
              <w:left w:val="nil"/>
              <w:bottom w:val="single" w:sz="8" w:space="0" w:color="000000"/>
              <w:right w:val="single" w:sz="8" w:space="0" w:color="auto"/>
            </w:tcBorders>
            <w:vAlign w:val="center"/>
            <w:hideMark/>
          </w:tcPr>
          <w:p w14:paraId="295CB32D" w14:textId="77777777" w:rsidR="001642C9" w:rsidRPr="001642C9" w:rsidRDefault="001642C9" w:rsidP="001642C9">
            <w:pPr>
              <w:spacing w:after="0" w:line="360" w:lineRule="auto"/>
              <w:jc w:val="center"/>
              <w:rPr>
                <w:rFonts w:ascii="Arial" w:eastAsia="Times New Roman" w:hAnsi="Arial" w:cs="Arial"/>
                <w:color w:val="000000"/>
                <w:sz w:val="24"/>
                <w:szCs w:val="24"/>
                <w:lang w:eastAsia="es-AR"/>
              </w:rPr>
            </w:pPr>
          </w:p>
        </w:tc>
      </w:tr>
      <w:tr w:rsidR="001642C9" w:rsidRPr="001642C9" w14:paraId="67C66F80" w14:textId="77777777" w:rsidTr="00BA43A9">
        <w:trPr>
          <w:trHeight w:val="450"/>
          <w:jc w:val="center"/>
        </w:trPr>
        <w:tc>
          <w:tcPr>
            <w:tcW w:w="242" w:type="dxa"/>
            <w:tcBorders>
              <w:top w:val="nil"/>
              <w:left w:val="single" w:sz="8" w:space="0" w:color="auto"/>
              <w:bottom w:val="single" w:sz="4" w:space="0" w:color="auto"/>
              <w:right w:val="single" w:sz="4" w:space="0" w:color="auto"/>
            </w:tcBorders>
            <w:shd w:val="clear" w:color="auto" w:fill="auto"/>
            <w:noWrap/>
            <w:vAlign w:val="center"/>
            <w:hideMark/>
          </w:tcPr>
          <w:p w14:paraId="4E5EC0E1" w14:textId="77777777" w:rsidR="001642C9" w:rsidRPr="001642C9" w:rsidRDefault="001642C9" w:rsidP="001642C9">
            <w:pPr>
              <w:spacing w:after="0" w:line="360" w:lineRule="auto"/>
              <w:jc w:val="both"/>
              <w:rPr>
                <w:rFonts w:ascii="Arial" w:eastAsia="Times New Roman" w:hAnsi="Arial" w:cs="Arial"/>
                <w:color w:val="000000"/>
                <w:sz w:val="24"/>
                <w:szCs w:val="24"/>
                <w:lang w:eastAsia="es-AR"/>
              </w:rPr>
            </w:pPr>
            <w:r w:rsidRPr="001642C9">
              <w:rPr>
                <w:rFonts w:ascii="Arial" w:eastAsia="Times New Roman" w:hAnsi="Arial" w:cs="Arial"/>
                <w:color w:val="000000"/>
                <w:sz w:val="24"/>
                <w:szCs w:val="24"/>
                <w:lang w:eastAsia="es-AR"/>
              </w:rPr>
              <w:t>d.</w:t>
            </w:r>
          </w:p>
        </w:tc>
        <w:tc>
          <w:tcPr>
            <w:tcW w:w="4878" w:type="dxa"/>
            <w:tcBorders>
              <w:top w:val="nil"/>
              <w:left w:val="nil"/>
              <w:bottom w:val="single" w:sz="4" w:space="0" w:color="auto"/>
              <w:right w:val="single" w:sz="4" w:space="0" w:color="auto"/>
            </w:tcBorders>
            <w:shd w:val="clear" w:color="auto" w:fill="auto"/>
            <w:noWrap/>
            <w:vAlign w:val="center"/>
            <w:hideMark/>
          </w:tcPr>
          <w:p w14:paraId="241A5A32" w14:textId="77777777" w:rsidR="001642C9" w:rsidRPr="001642C9" w:rsidRDefault="001642C9" w:rsidP="001642C9">
            <w:pPr>
              <w:spacing w:after="0" w:line="360" w:lineRule="auto"/>
              <w:jc w:val="both"/>
              <w:rPr>
                <w:rFonts w:ascii="Arial" w:eastAsia="Times New Roman" w:hAnsi="Arial" w:cs="Arial"/>
                <w:color w:val="000000"/>
                <w:sz w:val="24"/>
                <w:szCs w:val="24"/>
                <w:lang w:eastAsia="es-AR"/>
              </w:rPr>
            </w:pPr>
            <w:r w:rsidRPr="001642C9">
              <w:rPr>
                <w:rFonts w:ascii="Arial" w:eastAsia="Times New Roman" w:hAnsi="Arial" w:cs="Arial"/>
                <w:color w:val="000000"/>
                <w:sz w:val="24"/>
                <w:szCs w:val="24"/>
                <w:lang w:eastAsia="es-AR"/>
              </w:rPr>
              <w:t>Capacidad de almacenamiento en GB (2,5)</w:t>
            </w:r>
          </w:p>
        </w:tc>
        <w:tc>
          <w:tcPr>
            <w:tcW w:w="1280" w:type="dxa"/>
            <w:vMerge/>
            <w:tcBorders>
              <w:top w:val="single" w:sz="8" w:space="0" w:color="auto"/>
              <w:left w:val="nil"/>
              <w:bottom w:val="single" w:sz="8" w:space="0" w:color="000000"/>
              <w:right w:val="single" w:sz="8" w:space="0" w:color="auto"/>
            </w:tcBorders>
            <w:vAlign w:val="center"/>
            <w:hideMark/>
          </w:tcPr>
          <w:p w14:paraId="2202FD91" w14:textId="77777777" w:rsidR="001642C9" w:rsidRPr="001642C9" w:rsidRDefault="001642C9" w:rsidP="001642C9">
            <w:pPr>
              <w:spacing w:after="0" w:line="360" w:lineRule="auto"/>
              <w:jc w:val="center"/>
              <w:rPr>
                <w:rFonts w:ascii="Arial" w:eastAsia="Times New Roman" w:hAnsi="Arial" w:cs="Arial"/>
                <w:color w:val="000000"/>
                <w:sz w:val="24"/>
                <w:szCs w:val="24"/>
                <w:lang w:eastAsia="es-AR"/>
              </w:rPr>
            </w:pPr>
          </w:p>
        </w:tc>
      </w:tr>
      <w:tr w:rsidR="001642C9" w:rsidRPr="001642C9" w14:paraId="30E39176" w14:textId="77777777" w:rsidTr="00BA43A9">
        <w:trPr>
          <w:trHeight w:val="450"/>
          <w:jc w:val="center"/>
        </w:trPr>
        <w:tc>
          <w:tcPr>
            <w:tcW w:w="242" w:type="dxa"/>
            <w:tcBorders>
              <w:top w:val="nil"/>
              <w:left w:val="single" w:sz="8" w:space="0" w:color="auto"/>
              <w:bottom w:val="single" w:sz="4" w:space="0" w:color="auto"/>
              <w:right w:val="single" w:sz="4" w:space="0" w:color="auto"/>
            </w:tcBorders>
            <w:shd w:val="clear" w:color="auto" w:fill="auto"/>
            <w:noWrap/>
            <w:vAlign w:val="center"/>
            <w:hideMark/>
          </w:tcPr>
          <w:p w14:paraId="42B07ACF" w14:textId="77777777" w:rsidR="001642C9" w:rsidRPr="001642C9" w:rsidRDefault="001642C9" w:rsidP="001642C9">
            <w:pPr>
              <w:spacing w:after="0" w:line="360" w:lineRule="auto"/>
              <w:jc w:val="both"/>
              <w:rPr>
                <w:rFonts w:ascii="Arial" w:eastAsia="Times New Roman" w:hAnsi="Arial" w:cs="Arial"/>
                <w:color w:val="000000"/>
                <w:sz w:val="24"/>
                <w:szCs w:val="24"/>
                <w:lang w:eastAsia="es-AR"/>
              </w:rPr>
            </w:pPr>
            <w:r w:rsidRPr="001642C9">
              <w:rPr>
                <w:rFonts w:ascii="Arial" w:eastAsia="Times New Roman" w:hAnsi="Arial" w:cs="Arial"/>
                <w:color w:val="000000"/>
                <w:sz w:val="24"/>
                <w:szCs w:val="24"/>
                <w:lang w:eastAsia="es-AR"/>
              </w:rPr>
              <w:t>e.</w:t>
            </w:r>
          </w:p>
        </w:tc>
        <w:tc>
          <w:tcPr>
            <w:tcW w:w="4878" w:type="dxa"/>
            <w:tcBorders>
              <w:top w:val="nil"/>
              <w:left w:val="nil"/>
              <w:bottom w:val="single" w:sz="4" w:space="0" w:color="auto"/>
              <w:right w:val="single" w:sz="4" w:space="0" w:color="auto"/>
            </w:tcBorders>
            <w:shd w:val="clear" w:color="auto" w:fill="auto"/>
            <w:noWrap/>
            <w:vAlign w:val="center"/>
            <w:hideMark/>
          </w:tcPr>
          <w:p w14:paraId="076433F7" w14:textId="77777777" w:rsidR="001642C9" w:rsidRPr="001642C9" w:rsidRDefault="001642C9" w:rsidP="001642C9">
            <w:pPr>
              <w:spacing w:after="0" w:line="360" w:lineRule="auto"/>
              <w:jc w:val="both"/>
              <w:rPr>
                <w:rFonts w:ascii="Arial" w:eastAsia="Times New Roman" w:hAnsi="Arial" w:cs="Arial"/>
                <w:color w:val="000000"/>
                <w:sz w:val="24"/>
                <w:szCs w:val="24"/>
                <w:lang w:eastAsia="es-AR"/>
              </w:rPr>
            </w:pPr>
            <w:r w:rsidRPr="001642C9">
              <w:rPr>
                <w:rFonts w:ascii="Arial" w:eastAsia="Times New Roman" w:hAnsi="Arial" w:cs="Arial"/>
                <w:color w:val="000000"/>
                <w:sz w:val="24"/>
                <w:szCs w:val="24"/>
                <w:lang w:eastAsia="es-AR"/>
              </w:rPr>
              <w:t>Autonomía de la batería (2,5)</w:t>
            </w:r>
          </w:p>
        </w:tc>
        <w:tc>
          <w:tcPr>
            <w:tcW w:w="1280" w:type="dxa"/>
            <w:vMerge/>
            <w:tcBorders>
              <w:top w:val="single" w:sz="8" w:space="0" w:color="auto"/>
              <w:left w:val="nil"/>
              <w:bottom w:val="single" w:sz="8" w:space="0" w:color="000000"/>
              <w:right w:val="single" w:sz="8" w:space="0" w:color="auto"/>
            </w:tcBorders>
            <w:vAlign w:val="center"/>
            <w:hideMark/>
          </w:tcPr>
          <w:p w14:paraId="2A2A3943" w14:textId="77777777" w:rsidR="001642C9" w:rsidRPr="001642C9" w:rsidRDefault="001642C9" w:rsidP="001642C9">
            <w:pPr>
              <w:spacing w:after="0" w:line="360" w:lineRule="auto"/>
              <w:jc w:val="center"/>
              <w:rPr>
                <w:rFonts w:ascii="Arial" w:eastAsia="Times New Roman" w:hAnsi="Arial" w:cs="Arial"/>
                <w:color w:val="000000"/>
                <w:sz w:val="24"/>
                <w:szCs w:val="24"/>
                <w:lang w:eastAsia="es-AR"/>
              </w:rPr>
            </w:pPr>
          </w:p>
        </w:tc>
      </w:tr>
      <w:tr w:rsidR="001642C9" w:rsidRPr="001642C9" w14:paraId="7ECF383E" w14:textId="77777777" w:rsidTr="00BA43A9">
        <w:trPr>
          <w:trHeight w:val="450"/>
          <w:jc w:val="center"/>
        </w:trPr>
        <w:tc>
          <w:tcPr>
            <w:tcW w:w="242" w:type="dxa"/>
            <w:tcBorders>
              <w:top w:val="nil"/>
              <w:left w:val="single" w:sz="8" w:space="0" w:color="auto"/>
              <w:bottom w:val="single" w:sz="4" w:space="0" w:color="auto"/>
              <w:right w:val="single" w:sz="4" w:space="0" w:color="auto"/>
            </w:tcBorders>
            <w:shd w:val="clear" w:color="auto" w:fill="auto"/>
            <w:noWrap/>
            <w:vAlign w:val="center"/>
            <w:hideMark/>
          </w:tcPr>
          <w:p w14:paraId="255038B5" w14:textId="77777777" w:rsidR="001642C9" w:rsidRPr="001642C9" w:rsidRDefault="001642C9" w:rsidP="001642C9">
            <w:pPr>
              <w:spacing w:after="0" w:line="360" w:lineRule="auto"/>
              <w:jc w:val="both"/>
              <w:rPr>
                <w:rFonts w:ascii="Arial" w:eastAsia="Times New Roman" w:hAnsi="Arial" w:cs="Arial"/>
                <w:color w:val="000000"/>
                <w:sz w:val="24"/>
                <w:szCs w:val="24"/>
                <w:lang w:eastAsia="es-AR"/>
              </w:rPr>
            </w:pPr>
            <w:r w:rsidRPr="001642C9">
              <w:rPr>
                <w:rFonts w:ascii="Arial" w:eastAsia="Times New Roman" w:hAnsi="Arial" w:cs="Arial"/>
                <w:color w:val="000000"/>
                <w:sz w:val="24"/>
                <w:szCs w:val="24"/>
                <w:lang w:eastAsia="es-AR"/>
              </w:rPr>
              <w:t>f.</w:t>
            </w:r>
          </w:p>
        </w:tc>
        <w:tc>
          <w:tcPr>
            <w:tcW w:w="4878" w:type="dxa"/>
            <w:tcBorders>
              <w:top w:val="nil"/>
              <w:left w:val="nil"/>
              <w:bottom w:val="single" w:sz="4" w:space="0" w:color="auto"/>
              <w:right w:val="single" w:sz="4" w:space="0" w:color="auto"/>
            </w:tcBorders>
            <w:shd w:val="clear" w:color="auto" w:fill="auto"/>
            <w:noWrap/>
            <w:vAlign w:val="center"/>
            <w:hideMark/>
          </w:tcPr>
          <w:p w14:paraId="119C2D42" w14:textId="77777777" w:rsidR="001642C9" w:rsidRPr="001642C9" w:rsidRDefault="001642C9" w:rsidP="001642C9">
            <w:pPr>
              <w:spacing w:after="0" w:line="360" w:lineRule="auto"/>
              <w:jc w:val="both"/>
              <w:rPr>
                <w:rFonts w:ascii="Arial" w:eastAsia="Times New Roman" w:hAnsi="Arial" w:cs="Arial"/>
                <w:color w:val="000000"/>
                <w:sz w:val="24"/>
                <w:szCs w:val="24"/>
                <w:lang w:eastAsia="es-AR"/>
              </w:rPr>
            </w:pPr>
            <w:r w:rsidRPr="001642C9">
              <w:rPr>
                <w:rFonts w:ascii="Arial" w:eastAsia="Times New Roman" w:hAnsi="Arial" w:cs="Arial"/>
                <w:color w:val="000000"/>
                <w:sz w:val="24"/>
                <w:szCs w:val="24"/>
                <w:lang w:eastAsia="es-AR"/>
              </w:rPr>
              <w:t>Portabilidad (2,5)</w:t>
            </w:r>
          </w:p>
        </w:tc>
        <w:tc>
          <w:tcPr>
            <w:tcW w:w="1280" w:type="dxa"/>
            <w:vMerge/>
            <w:tcBorders>
              <w:top w:val="single" w:sz="8" w:space="0" w:color="auto"/>
              <w:left w:val="nil"/>
              <w:bottom w:val="single" w:sz="8" w:space="0" w:color="000000"/>
              <w:right w:val="single" w:sz="8" w:space="0" w:color="auto"/>
            </w:tcBorders>
            <w:vAlign w:val="center"/>
            <w:hideMark/>
          </w:tcPr>
          <w:p w14:paraId="2F80E49D" w14:textId="77777777" w:rsidR="001642C9" w:rsidRPr="001642C9" w:rsidRDefault="001642C9" w:rsidP="001642C9">
            <w:pPr>
              <w:spacing w:after="0" w:line="360" w:lineRule="auto"/>
              <w:jc w:val="center"/>
              <w:rPr>
                <w:rFonts w:ascii="Arial" w:eastAsia="Times New Roman" w:hAnsi="Arial" w:cs="Arial"/>
                <w:color w:val="000000"/>
                <w:sz w:val="24"/>
                <w:szCs w:val="24"/>
                <w:lang w:eastAsia="es-AR"/>
              </w:rPr>
            </w:pPr>
          </w:p>
        </w:tc>
      </w:tr>
      <w:tr w:rsidR="001642C9" w:rsidRPr="001642C9" w14:paraId="2A53BEF1" w14:textId="77777777" w:rsidTr="00BA43A9">
        <w:trPr>
          <w:trHeight w:val="450"/>
          <w:jc w:val="center"/>
        </w:trPr>
        <w:tc>
          <w:tcPr>
            <w:tcW w:w="242" w:type="dxa"/>
            <w:tcBorders>
              <w:top w:val="nil"/>
              <w:left w:val="single" w:sz="8" w:space="0" w:color="auto"/>
              <w:bottom w:val="single" w:sz="4" w:space="0" w:color="auto"/>
              <w:right w:val="single" w:sz="4" w:space="0" w:color="auto"/>
            </w:tcBorders>
            <w:shd w:val="clear" w:color="auto" w:fill="auto"/>
            <w:noWrap/>
            <w:vAlign w:val="center"/>
            <w:hideMark/>
          </w:tcPr>
          <w:p w14:paraId="6EADA13A" w14:textId="77777777" w:rsidR="001642C9" w:rsidRPr="001642C9" w:rsidRDefault="001642C9" w:rsidP="001642C9">
            <w:pPr>
              <w:spacing w:after="0" w:line="360" w:lineRule="auto"/>
              <w:jc w:val="both"/>
              <w:rPr>
                <w:rFonts w:ascii="Arial" w:eastAsia="Times New Roman" w:hAnsi="Arial" w:cs="Arial"/>
                <w:color w:val="000000"/>
                <w:sz w:val="24"/>
                <w:szCs w:val="24"/>
                <w:lang w:eastAsia="es-AR"/>
              </w:rPr>
            </w:pPr>
            <w:r w:rsidRPr="001642C9">
              <w:rPr>
                <w:rFonts w:ascii="Arial" w:eastAsia="Times New Roman" w:hAnsi="Arial" w:cs="Arial"/>
                <w:color w:val="000000"/>
                <w:sz w:val="24"/>
                <w:szCs w:val="24"/>
                <w:lang w:eastAsia="es-AR"/>
              </w:rPr>
              <w:t>g.</w:t>
            </w:r>
          </w:p>
        </w:tc>
        <w:tc>
          <w:tcPr>
            <w:tcW w:w="4878" w:type="dxa"/>
            <w:tcBorders>
              <w:top w:val="nil"/>
              <w:left w:val="nil"/>
              <w:bottom w:val="single" w:sz="4" w:space="0" w:color="auto"/>
              <w:right w:val="single" w:sz="4" w:space="0" w:color="auto"/>
            </w:tcBorders>
            <w:shd w:val="clear" w:color="auto" w:fill="auto"/>
            <w:noWrap/>
            <w:vAlign w:val="center"/>
            <w:hideMark/>
          </w:tcPr>
          <w:p w14:paraId="160F0DE8" w14:textId="77777777" w:rsidR="001642C9" w:rsidRPr="001642C9" w:rsidRDefault="001642C9" w:rsidP="001642C9">
            <w:pPr>
              <w:spacing w:after="0" w:line="360" w:lineRule="auto"/>
              <w:jc w:val="both"/>
              <w:rPr>
                <w:rFonts w:ascii="Arial" w:eastAsia="Times New Roman" w:hAnsi="Arial" w:cs="Arial"/>
                <w:color w:val="000000"/>
                <w:sz w:val="24"/>
                <w:szCs w:val="24"/>
                <w:lang w:eastAsia="es-AR"/>
              </w:rPr>
            </w:pPr>
            <w:r w:rsidRPr="001642C9">
              <w:rPr>
                <w:rFonts w:ascii="Arial" w:eastAsia="Times New Roman" w:hAnsi="Arial" w:cs="Arial"/>
                <w:color w:val="000000"/>
                <w:sz w:val="24"/>
                <w:szCs w:val="24"/>
                <w:lang w:eastAsia="es-AR"/>
              </w:rPr>
              <w:t>Conectividad (2,5)</w:t>
            </w:r>
          </w:p>
        </w:tc>
        <w:tc>
          <w:tcPr>
            <w:tcW w:w="1280" w:type="dxa"/>
            <w:vMerge/>
            <w:tcBorders>
              <w:top w:val="single" w:sz="8" w:space="0" w:color="auto"/>
              <w:left w:val="nil"/>
              <w:bottom w:val="single" w:sz="8" w:space="0" w:color="000000"/>
              <w:right w:val="single" w:sz="8" w:space="0" w:color="auto"/>
            </w:tcBorders>
            <w:vAlign w:val="center"/>
            <w:hideMark/>
          </w:tcPr>
          <w:p w14:paraId="5A953D0B" w14:textId="77777777" w:rsidR="001642C9" w:rsidRPr="001642C9" w:rsidRDefault="001642C9" w:rsidP="001642C9">
            <w:pPr>
              <w:spacing w:after="0" w:line="360" w:lineRule="auto"/>
              <w:jc w:val="center"/>
              <w:rPr>
                <w:rFonts w:ascii="Arial" w:eastAsia="Times New Roman" w:hAnsi="Arial" w:cs="Arial"/>
                <w:color w:val="000000"/>
                <w:sz w:val="24"/>
                <w:szCs w:val="24"/>
                <w:lang w:eastAsia="es-AR"/>
              </w:rPr>
            </w:pPr>
          </w:p>
        </w:tc>
      </w:tr>
      <w:tr w:rsidR="001642C9" w:rsidRPr="001642C9" w14:paraId="10A76D44" w14:textId="77777777" w:rsidTr="00BA43A9">
        <w:trPr>
          <w:trHeight w:val="450"/>
          <w:jc w:val="center"/>
        </w:trPr>
        <w:tc>
          <w:tcPr>
            <w:tcW w:w="242" w:type="dxa"/>
            <w:tcBorders>
              <w:top w:val="nil"/>
              <w:left w:val="single" w:sz="8" w:space="0" w:color="auto"/>
              <w:bottom w:val="single" w:sz="4" w:space="0" w:color="auto"/>
              <w:right w:val="single" w:sz="4" w:space="0" w:color="auto"/>
            </w:tcBorders>
            <w:shd w:val="clear" w:color="auto" w:fill="auto"/>
            <w:noWrap/>
            <w:vAlign w:val="center"/>
            <w:hideMark/>
          </w:tcPr>
          <w:p w14:paraId="69D0E543" w14:textId="77777777" w:rsidR="001642C9" w:rsidRPr="001642C9" w:rsidRDefault="001642C9" w:rsidP="001642C9">
            <w:pPr>
              <w:spacing w:after="0" w:line="360" w:lineRule="auto"/>
              <w:jc w:val="both"/>
              <w:rPr>
                <w:rFonts w:ascii="Arial" w:eastAsia="Times New Roman" w:hAnsi="Arial" w:cs="Arial"/>
                <w:color w:val="000000"/>
                <w:sz w:val="24"/>
                <w:szCs w:val="24"/>
                <w:lang w:eastAsia="es-AR"/>
              </w:rPr>
            </w:pPr>
            <w:r w:rsidRPr="001642C9">
              <w:rPr>
                <w:rFonts w:ascii="Arial" w:eastAsia="Times New Roman" w:hAnsi="Arial" w:cs="Arial"/>
                <w:color w:val="000000"/>
                <w:sz w:val="24"/>
                <w:szCs w:val="24"/>
                <w:lang w:eastAsia="es-AR"/>
              </w:rPr>
              <w:t>h.</w:t>
            </w:r>
          </w:p>
        </w:tc>
        <w:tc>
          <w:tcPr>
            <w:tcW w:w="4878" w:type="dxa"/>
            <w:tcBorders>
              <w:top w:val="nil"/>
              <w:left w:val="nil"/>
              <w:bottom w:val="single" w:sz="4" w:space="0" w:color="auto"/>
              <w:right w:val="single" w:sz="4" w:space="0" w:color="auto"/>
            </w:tcBorders>
            <w:shd w:val="clear" w:color="auto" w:fill="auto"/>
            <w:noWrap/>
            <w:vAlign w:val="center"/>
            <w:hideMark/>
          </w:tcPr>
          <w:p w14:paraId="0DF820A5" w14:textId="77777777" w:rsidR="001642C9" w:rsidRPr="001642C9" w:rsidRDefault="001642C9" w:rsidP="001642C9">
            <w:pPr>
              <w:spacing w:after="0" w:line="360" w:lineRule="auto"/>
              <w:jc w:val="both"/>
              <w:rPr>
                <w:rFonts w:ascii="Arial" w:eastAsia="Times New Roman" w:hAnsi="Arial" w:cs="Arial"/>
                <w:color w:val="000000"/>
                <w:sz w:val="24"/>
                <w:szCs w:val="24"/>
                <w:lang w:eastAsia="es-AR"/>
              </w:rPr>
            </w:pPr>
            <w:r w:rsidRPr="001642C9">
              <w:rPr>
                <w:rFonts w:ascii="Arial" w:eastAsia="Times New Roman" w:hAnsi="Arial" w:cs="Arial"/>
                <w:color w:val="000000"/>
                <w:sz w:val="24"/>
                <w:szCs w:val="24"/>
                <w:lang w:eastAsia="es-AR"/>
              </w:rPr>
              <w:t>Software (2,5)</w:t>
            </w:r>
          </w:p>
        </w:tc>
        <w:tc>
          <w:tcPr>
            <w:tcW w:w="1280" w:type="dxa"/>
            <w:vMerge/>
            <w:tcBorders>
              <w:top w:val="single" w:sz="8" w:space="0" w:color="auto"/>
              <w:left w:val="nil"/>
              <w:bottom w:val="single" w:sz="8" w:space="0" w:color="000000"/>
              <w:right w:val="single" w:sz="8" w:space="0" w:color="auto"/>
            </w:tcBorders>
            <w:vAlign w:val="center"/>
            <w:hideMark/>
          </w:tcPr>
          <w:p w14:paraId="0309239A" w14:textId="77777777" w:rsidR="001642C9" w:rsidRPr="001642C9" w:rsidRDefault="001642C9" w:rsidP="001642C9">
            <w:pPr>
              <w:spacing w:after="0" w:line="360" w:lineRule="auto"/>
              <w:jc w:val="center"/>
              <w:rPr>
                <w:rFonts w:ascii="Arial" w:eastAsia="Times New Roman" w:hAnsi="Arial" w:cs="Arial"/>
                <w:color w:val="000000"/>
                <w:sz w:val="24"/>
                <w:szCs w:val="24"/>
                <w:lang w:eastAsia="es-AR"/>
              </w:rPr>
            </w:pPr>
          </w:p>
        </w:tc>
      </w:tr>
      <w:tr w:rsidR="001642C9" w:rsidRPr="001642C9" w14:paraId="110064CF" w14:textId="77777777" w:rsidTr="00BA43A9">
        <w:trPr>
          <w:trHeight w:val="450"/>
          <w:jc w:val="center"/>
        </w:trPr>
        <w:tc>
          <w:tcPr>
            <w:tcW w:w="242" w:type="dxa"/>
            <w:tcBorders>
              <w:top w:val="nil"/>
              <w:left w:val="single" w:sz="8" w:space="0" w:color="auto"/>
              <w:bottom w:val="single" w:sz="8" w:space="0" w:color="auto"/>
              <w:right w:val="single" w:sz="4" w:space="0" w:color="auto"/>
            </w:tcBorders>
            <w:shd w:val="clear" w:color="auto" w:fill="auto"/>
            <w:noWrap/>
            <w:vAlign w:val="center"/>
            <w:hideMark/>
          </w:tcPr>
          <w:p w14:paraId="02178487" w14:textId="77777777" w:rsidR="001642C9" w:rsidRPr="001642C9" w:rsidRDefault="001642C9" w:rsidP="001642C9">
            <w:pPr>
              <w:spacing w:after="0" w:line="360" w:lineRule="auto"/>
              <w:jc w:val="both"/>
              <w:rPr>
                <w:rFonts w:ascii="Arial" w:eastAsia="Times New Roman" w:hAnsi="Arial" w:cs="Arial"/>
                <w:color w:val="000000"/>
                <w:sz w:val="24"/>
                <w:szCs w:val="24"/>
                <w:lang w:eastAsia="es-AR"/>
              </w:rPr>
            </w:pPr>
            <w:r w:rsidRPr="001642C9">
              <w:rPr>
                <w:rFonts w:ascii="Arial" w:eastAsia="Times New Roman" w:hAnsi="Arial" w:cs="Arial"/>
                <w:color w:val="000000"/>
                <w:sz w:val="24"/>
                <w:szCs w:val="24"/>
                <w:lang w:eastAsia="es-AR"/>
              </w:rPr>
              <w:t>i.</w:t>
            </w:r>
          </w:p>
        </w:tc>
        <w:tc>
          <w:tcPr>
            <w:tcW w:w="4878" w:type="dxa"/>
            <w:tcBorders>
              <w:top w:val="nil"/>
              <w:left w:val="nil"/>
              <w:bottom w:val="single" w:sz="8" w:space="0" w:color="auto"/>
              <w:right w:val="single" w:sz="4" w:space="0" w:color="auto"/>
            </w:tcBorders>
            <w:shd w:val="clear" w:color="auto" w:fill="auto"/>
            <w:noWrap/>
            <w:vAlign w:val="center"/>
            <w:hideMark/>
          </w:tcPr>
          <w:p w14:paraId="5B43E9B6" w14:textId="77777777" w:rsidR="001642C9" w:rsidRPr="001642C9" w:rsidRDefault="001642C9" w:rsidP="001642C9">
            <w:pPr>
              <w:spacing w:after="0" w:line="360" w:lineRule="auto"/>
              <w:jc w:val="both"/>
              <w:rPr>
                <w:rFonts w:ascii="Arial" w:eastAsia="Times New Roman" w:hAnsi="Arial" w:cs="Arial"/>
                <w:color w:val="000000"/>
                <w:sz w:val="24"/>
                <w:szCs w:val="24"/>
                <w:lang w:eastAsia="es-AR"/>
              </w:rPr>
            </w:pPr>
            <w:r w:rsidRPr="001642C9">
              <w:rPr>
                <w:rFonts w:ascii="Arial" w:eastAsia="Times New Roman" w:hAnsi="Arial" w:cs="Arial"/>
                <w:color w:val="000000"/>
                <w:sz w:val="24"/>
                <w:szCs w:val="24"/>
                <w:lang w:eastAsia="es-AR"/>
              </w:rPr>
              <w:t>Compatibilidad y sincronización (2,5)</w:t>
            </w:r>
          </w:p>
        </w:tc>
        <w:tc>
          <w:tcPr>
            <w:tcW w:w="1280" w:type="dxa"/>
            <w:vMerge/>
            <w:tcBorders>
              <w:top w:val="single" w:sz="8" w:space="0" w:color="auto"/>
              <w:left w:val="nil"/>
              <w:bottom w:val="single" w:sz="8" w:space="0" w:color="000000"/>
              <w:right w:val="single" w:sz="8" w:space="0" w:color="auto"/>
            </w:tcBorders>
            <w:vAlign w:val="center"/>
            <w:hideMark/>
          </w:tcPr>
          <w:p w14:paraId="5769CD93" w14:textId="77777777" w:rsidR="001642C9" w:rsidRPr="001642C9" w:rsidRDefault="001642C9" w:rsidP="001642C9">
            <w:pPr>
              <w:spacing w:after="0" w:line="360" w:lineRule="auto"/>
              <w:jc w:val="center"/>
              <w:rPr>
                <w:rFonts w:ascii="Arial" w:eastAsia="Times New Roman" w:hAnsi="Arial" w:cs="Arial"/>
                <w:color w:val="000000"/>
                <w:sz w:val="24"/>
                <w:szCs w:val="24"/>
                <w:lang w:eastAsia="es-AR"/>
              </w:rPr>
            </w:pPr>
          </w:p>
        </w:tc>
      </w:tr>
      <w:tr w:rsidR="001642C9" w:rsidRPr="001642C9" w14:paraId="03438C59" w14:textId="77777777" w:rsidTr="00BA43A9">
        <w:trPr>
          <w:trHeight w:val="450"/>
          <w:jc w:val="center"/>
        </w:trPr>
        <w:tc>
          <w:tcPr>
            <w:tcW w:w="242" w:type="dxa"/>
            <w:tcBorders>
              <w:top w:val="nil"/>
              <w:left w:val="single" w:sz="8" w:space="0" w:color="auto"/>
              <w:bottom w:val="single" w:sz="8" w:space="0" w:color="auto"/>
              <w:right w:val="single" w:sz="8" w:space="0" w:color="auto"/>
            </w:tcBorders>
            <w:shd w:val="clear" w:color="auto" w:fill="auto"/>
            <w:noWrap/>
            <w:vAlign w:val="center"/>
            <w:hideMark/>
          </w:tcPr>
          <w:p w14:paraId="57281BF6" w14:textId="77777777" w:rsidR="001642C9" w:rsidRPr="001642C9" w:rsidRDefault="001642C9" w:rsidP="001642C9">
            <w:pPr>
              <w:spacing w:after="0" w:line="360" w:lineRule="auto"/>
              <w:jc w:val="both"/>
              <w:rPr>
                <w:rFonts w:ascii="Arial" w:eastAsia="Times New Roman" w:hAnsi="Arial" w:cs="Arial"/>
                <w:b/>
                <w:bCs/>
                <w:color w:val="000000"/>
                <w:sz w:val="24"/>
                <w:szCs w:val="24"/>
                <w:lang w:eastAsia="es-AR"/>
              </w:rPr>
            </w:pPr>
            <w:r w:rsidRPr="001642C9">
              <w:rPr>
                <w:rFonts w:ascii="Arial" w:eastAsia="Times New Roman" w:hAnsi="Arial" w:cs="Arial"/>
                <w:b/>
                <w:bCs/>
                <w:color w:val="000000"/>
                <w:sz w:val="24"/>
                <w:szCs w:val="24"/>
                <w:lang w:eastAsia="es-AR"/>
              </w:rPr>
              <w:t>4</w:t>
            </w:r>
          </w:p>
        </w:tc>
        <w:tc>
          <w:tcPr>
            <w:tcW w:w="4878" w:type="dxa"/>
            <w:tcBorders>
              <w:top w:val="nil"/>
              <w:left w:val="nil"/>
              <w:bottom w:val="single" w:sz="8" w:space="0" w:color="auto"/>
              <w:right w:val="nil"/>
            </w:tcBorders>
            <w:shd w:val="clear" w:color="auto" w:fill="auto"/>
            <w:noWrap/>
            <w:vAlign w:val="center"/>
            <w:hideMark/>
          </w:tcPr>
          <w:p w14:paraId="38C58023" w14:textId="77777777" w:rsidR="001642C9" w:rsidRPr="001642C9" w:rsidRDefault="001642C9" w:rsidP="001642C9">
            <w:pPr>
              <w:spacing w:after="0" w:line="360" w:lineRule="auto"/>
              <w:jc w:val="both"/>
              <w:rPr>
                <w:rFonts w:ascii="Arial" w:eastAsia="Times New Roman" w:hAnsi="Arial" w:cs="Arial"/>
                <w:b/>
                <w:bCs/>
                <w:color w:val="000000"/>
                <w:sz w:val="24"/>
                <w:szCs w:val="24"/>
                <w:lang w:eastAsia="es-AR"/>
              </w:rPr>
            </w:pPr>
            <w:r w:rsidRPr="001642C9">
              <w:rPr>
                <w:rFonts w:ascii="Arial" w:eastAsia="Times New Roman" w:hAnsi="Arial" w:cs="Arial"/>
                <w:b/>
                <w:bCs/>
                <w:color w:val="000000"/>
                <w:sz w:val="24"/>
                <w:szCs w:val="24"/>
                <w:lang w:eastAsia="es-AR"/>
              </w:rPr>
              <w:t>Plazo de Entrega o Ejecución</w:t>
            </w:r>
          </w:p>
        </w:tc>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0BD19B68" w14:textId="77777777" w:rsidR="001642C9" w:rsidRPr="001642C9" w:rsidRDefault="001642C9" w:rsidP="001642C9">
            <w:pPr>
              <w:spacing w:after="0" w:line="360" w:lineRule="auto"/>
              <w:jc w:val="center"/>
              <w:rPr>
                <w:rFonts w:ascii="Arial" w:eastAsia="Times New Roman" w:hAnsi="Arial" w:cs="Arial"/>
                <w:color w:val="000000"/>
                <w:sz w:val="24"/>
                <w:szCs w:val="24"/>
                <w:lang w:eastAsia="es-AR"/>
              </w:rPr>
            </w:pPr>
            <w:r w:rsidRPr="001642C9">
              <w:rPr>
                <w:rFonts w:ascii="Arial" w:eastAsia="Times New Roman" w:hAnsi="Arial" w:cs="Arial"/>
                <w:color w:val="000000"/>
                <w:sz w:val="24"/>
                <w:szCs w:val="24"/>
                <w:lang w:eastAsia="es-AR"/>
              </w:rPr>
              <w:t>5</w:t>
            </w:r>
          </w:p>
        </w:tc>
      </w:tr>
      <w:tr w:rsidR="001642C9" w:rsidRPr="001642C9" w14:paraId="3B92DF35" w14:textId="77777777" w:rsidTr="00BA43A9">
        <w:trPr>
          <w:trHeight w:val="450"/>
          <w:jc w:val="center"/>
        </w:trPr>
        <w:tc>
          <w:tcPr>
            <w:tcW w:w="242" w:type="dxa"/>
            <w:tcBorders>
              <w:top w:val="nil"/>
              <w:left w:val="single" w:sz="8" w:space="0" w:color="auto"/>
              <w:bottom w:val="nil"/>
              <w:right w:val="single" w:sz="8" w:space="0" w:color="auto"/>
            </w:tcBorders>
            <w:shd w:val="clear" w:color="auto" w:fill="auto"/>
            <w:noWrap/>
            <w:vAlign w:val="center"/>
            <w:hideMark/>
          </w:tcPr>
          <w:p w14:paraId="516BE236" w14:textId="77777777" w:rsidR="001642C9" w:rsidRPr="001642C9" w:rsidRDefault="001642C9" w:rsidP="001642C9">
            <w:pPr>
              <w:spacing w:after="0" w:line="360" w:lineRule="auto"/>
              <w:jc w:val="both"/>
              <w:rPr>
                <w:rFonts w:ascii="Arial" w:eastAsia="Times New Roman" w:hAnsi="Arial" w:cs="Arial"/>
                <w:b/>
                <w:bCs/>
                <w:color w:val="000000"/>
                <w:sz w:val="24"/>
                <w:szCs w:val="24"/>
                <w:lang w:eastAsia="es-AR"/>
              </w:rPr>
            </w:pPr>
            <w:r w:rsidRPr="001642C9">
              <w:rPr>
                <w:rFonts w:ascii="Arial" w:eastAsia="Times New Roman" w:hAnsi="Arial" w:cs="Arial"/>
                <w:b/>
                <w:bCs/>
                <w:color w:val="000000"/>
                <w:sz w:val="24"/>
                <w:szCs w:val="24"/>
                <w:lang w:eastAsia="es-AR"/>
              </w:rPr>
              <w:t>5</w:t>
            </w:r>
          </w:p>
        </w:tc>
        <w:tc>
          <w:tcPr>
            <w:tcW w:w="4878" w:type="dxa"/>
            <w:tcBorders>
              <w:top w:val="nil"/>
              <w:left w:val="nil"/>
              <w:bottom w:val="nil"/>
              <w:right w:val="nil"/>
            </w:tcBorders>
            <w:shd w:val="clear" w:color="auto" w:fill="auto"/>
            <w:noWrap/>
            <w:vAlign w:val="center"/>
            <w:hideMark/>
          </w:tcPr>
          <w:p w14:paraId="32D20E15" w14:textId="77777777" w:rsidR="001642C9" w:rsidRPr="001642C9" w:rsidRDefault="001642C9" w:rsidP="001642C9">
            <w:pPr>
              <w:spacing w:after="0" w:line="360" w:lineRule="auto"/>
              <w:jc w:val="both"/>
              <w:rPr>
                <w:rFonts w:ascii="Arial" w:eastAsia="Times New Roman" w:hAnsi="Arial" w:cs="Arial"/>
                <w:b/>
                <w:bCs/>
                <w:color w:val="000000"/>
                <w:sz w:val="24"/>
                <w:szCs w:val="24"/>
                <w:lang w:eastAsia="es-AR"/>
              </w:rPr>
            </w:pPr>
            <w:r w:rsidRPr="001642C9">
              <w:rPr>
                <w:rFonts w:ascii="Arial" w:eastAsia="Times New Roman" w:hAnsi="Arial" w:cs="Arial"/>
                <w:b/>
                <w:bCs/>
                <w:color w:val="000000"/>
                <w:sz w:val="24"/>
                <w:szCs w:val="24"/>
                <w:lang w:eastAsia="es-AR"/>
              </w:rPr>
              <w:t>Acreditación ODS s/ Ley 9193</w:t>
            </w:r>
          </w:p>
        </w:tc>
        <w:tc>
          <w:tcPr>
            <w:tcW w:w="1280" w:type="dxa"/>
            <w:tcBorders>
              <w:top w:val="nil"/>
              <w:left w:val="single" w:sz="8" w:space="0" w:color="auto"/>
              <w:bottom w:val="nil"/>
              <w:right w:val="single" w:sz="8" w:space="0" w:color="auto"/>
            </w:tcBorders>
            <w:shd w:val="clear" w:color="auto" w:fill="auto"/>
            <w:noWrap/>
            <w:vAlign w:val="center"/>
            <w:hideMark/>
          </w:tcPr>
          <w:p w14:paraId="3F730BA7" w14:textId="77777777" w:rsidR="001642C9" w:rsidRPr="001642C9" w:rsidRDefault="001642C9" w:rsidP="001642C9">
            <w:pPr>
              <w:spacing w:after="0" w:line="360" w:lineRule="auto"/>
              <w:jc w:val="center"/>
              <w:rPr>
                <w:rFonts w:ascii="Arial" w:eastAsia="Times New Roman" w:hAnsi="Arial" w:cs="Arial"/>
                <w:color w:val="000000"/>
                <w:sz w:val="24"/>
                <w:szCs w:val="24"/>
                <w:lang w:eastAsia="es-AR"/>
              </w:rPr>
            </w:pPr>
            <w:r w:rsidRPr="001642C9">
              <w:rPr>
                <w:rFonts w:ascii="Arial" w:eastAsia="Times New Roman" w:hAnsi="Arial" w:cs="Arial"/>
                <w:color w:val="000000"/>
                <w:sz w:val="24"/>
                <w:szCs w:val="24"/>
                <w:lang w:eastAsia="es-AR"/>
              </w:rPr>
              <w:t>10</w:t>
            </w:r>
          </w:p>
        </w:tc>
      </w:tr>
      <w:tr w:rsidR="001642C9" w:rsidRPr="001642C9" w14:paraId="21E6B85B" w14:textId="77777777" w:rsidTr="00BA43A9">
        <w:trPr>
          <w:trHeight w:val="450"/>
          <w:jc w:val="center"/>
        </w:trPr>
        <w:tc>
          <w:tcPr>
            <w:tcW w:w="24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89D06B" w14:textId="77777777" w:rsidR="001642C9" w:rsidRPr="001642C9" w:rsidRDefault="001642C9" w:rsidP="001642C9">
            <w:pPr>
              <w:spacing w:after="0" w:line="360" w:lineRule="auto"/>
              <w:jc w:val="both"/>
              <w:rPr>
                <w:rFonts w:ascii="Arial" w:eastAsia="Times New Roman" w:hAnsi="Arial" w:cs="Arial"/>
                <w:b/>
                <w:bCs/>
                <w:color w:val="000000"/>
                <w:sz w:val="24"/>
                <w:szCs w:val="24"/>
                <w:lang w:eastAsia="es-AR"/>
              </w:rPr>
            </w:pPr>
            <w:r w:rsidRPr="001642C9">
              <w:rPr>
                <w:rFonts w:ascii="Arial" w:eastAsia="Times New Roman" w:hAnsi="Arial" w:cs="Arial"/>
                <w:b/>
                <w:bCs/>
                <w:color w:val="000000"/>
                <w:sz w:val="24"/>
                <w:szCs w:val="24"/>
                <w:lang w:eastAsia="es-AR"/>
              </w:rPr>
              <w:t>6</w:t>
            </w:r>
          </w:p>
        </w:tc>
        <w:tc>
          <w:tcPr>
            <w:tcW w:w="4878" w:type="dxa"/>
            <w:tcBorders>
              <w:top w:val="single" w:sz="8" w:space="0" w:color="auto"/>
              <w:left w:val="nil"/>
              <w:bottom w:val="single" w:sz="8" w:space="0" w:color="auto"/>
              <w:right w:val="nil"/>
            </w:tcBorders>
            <w:shd w:val="clear" w:color="auto" w:fill="auto"/>
            <w:noWrap/>
            <w:vAlign w:val="center"/>
            <w:hideMark/>
          </w:tcPr>
          <w:p w14:paraId="1E0D5C62" w14:textId="77777777" w:rsidR="001642C9" w:rsidRPr="001642C9" w:rsidRDefault="001642C9" w:rsidP="001642C9">
            <w:pPr>
              <w:spacing w:after="0" w:line="360" w:lineRule="auto"/>
              <w:jc w:val="both"/>
              <w:rPr>
                <w:rFonts w:ascii="Arial" w:eastAsia="Times New Roman" w:hAnsi="Arial" w:cs="Arial"/>
                <w:b/>
                <w:bCs/>
                <w:color w:val="000000"/>
                <w:sz w:val="24"/>
                <w:szCs w:val="24"/>
                <w:lang w:eastAsia="es-AR"/>
              </w:rPr>
            </w:pPr>
            <w:r w:rsidRPr="001642C9">
              <w:rPr>
                <w:rFonts w:ascii="Arial" w:eastAsia="Times New Roman" w:hAnsi="Arial" w:cs="Arial"/>
                <w:b/>
                <w:bCs/>
                <w:color w:val="000000"/>
                <w:sz w:val="24"/>
                <w:szCs w:val="24"/>
                <w:lang w:eastAsia="es-AR"/>
              </w:rPr>
              <w:t>Oferta Económica</w:t>
            </w:r>
          </w:p>
        </w:tc>
        <w:tc>
          <w:tcPr>
            <w:tcW w:w="1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19DE855" w14:textId="77777777" w:rsidR="001642C9" w:rsidRPr="001642C9" w:rsidRDefault="001642C9" w:rsidP="001642C9">
            <w:pPr>
              <w:spacing w:after="0" w:line="360" w:lineRule="auto"/>
              <w:jc w:val="center"/>
              <w:rPr>
                <w:rFonts w:ascii="Arial" w:eastAsia="Times New Roman" w:hAnsi="Arial" w:cs="Arial"/>
                <w:color w:val="000000"/>
                <w:sz w:val="24"/>
                <w:szCs w:val="24"/>
                <w:lang w:eastAsia="es-AR"/>
              </w:rPr>
            </w:pPr>
            <w:r w:rsidRPr="001642C9">
              <w:rPr>
                <w:rFonts w:ascii="Arial" w:eastAsia="Times New Roman" w:hAnsi="Arial" w:cs="Arial"/>
                <w:color w:val="000000"/>
                <w:sz w:val="24"/>
                <w:szCs w:val="24"/>
                <w:lang w:eastAsia="es-AR"/>
              </w:rPr>
              <w:t>40</w:t>
            </w:r>
          </w:p>
        </w:tc>
      </w:tr>
      <w:tr w:rsidR="001642C9" w:rsidRPr="001642C9" w14:paraId="78702986" w14:textId="77777777" w:rsidTr="00BA43A9">
        <w:trPr>
          <w:trHeight w:val="450"/>
          <w:jc w:val="center"/>
        </w:trPr>
        <w:tc>
          <w:tcPr>
            <w:tcW w:w="51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B3B4CBC" w14:textId="77777777" w:rsidR="001642C9" w:rsidRPr="001642C9" w:rsidRDefault="001642C9" w:rsidP="001642C9">
            <w:pPr>
              <w:spacing w:after="0" w:line="360" w:lineRule="auto"/>
              <w:jc w:val="both"/>
              <w:rPr>
                <w:rFonts w:ascii="Arial" w:eastAsia="Times New Roman" w:hAnsi="Arial" w:cs="Arial"/>
                <w:b/>
                <w:bCs/>
                <w:color w:val="000000"/>
                <w:sz w:val="24"/>
                <w:szCs w:val="24"/>
                <w:lang w:eastAsia="es-AR"/>
              </w:rPr>
            </w:pPr>
            <w:r w:rsidRPr="001642C9">
              <w:rPr>
                <w:rFonts w:ascii="Arial" w:eastAsia="Times New Roman" w:hAnsi="Arial" w:cs="Arial"/>
                <w:b/>
                <w:bCs/>
                <w:color w:val="000000"/>
                <w:sz w:val="24"/>
                <w:szCs w:val="24"/>
                <w:lang w:eastAsia="es-AR"/>
              </w:rPr>
              <w:t>TOTAL</w:t>
            </w:r>
          </w:p>
        </w:tc>
        <w:tc>
          <w:tcPr>
            <w:tcW w:w="1280" w:type="dxa"/>
            <w:tcBorders>
              <w:top w:val="nil"/>
              <w:left w:val="nil"/>
              <w:bottom w:val="single" w:sz="8" w:space="0" w:color="auto"/>
              <w:right w:val="single" w:sz="8" w:space="0" w:color="auto"/>
            </w:tcBorders>
            <w:shd w:val="clear" w:color="auto" w:fill="auto"/>
            <w:noWrap/>
            <w:vAlign w:val="center"/>
            <w:hideMark/>
          </w:tcPr>
          <w:p w14:paraId="1CFB86D4" w14:textId="77777777" w:rsidR="001642C9" w:rsidRPr="001642C9" w:rsidRDefault="001642C9" w:rsidP="001642C9">
            <w:pPr>
              <w:spacing w:after="0" w:line="360" w:lineRule="auto"/>
              <w:jc w:val="center"/>
              <w:rPr>
                <w:rFonts w:ascii="Arial" w:eastAsia="Times New Roman" w:hAnsi="Arial" w:cs="Arial"/>
                <w:b/>
                <w:bCs/>
                <w:color w:val="000000"/>
                <w:sz w:val="24"/>
                <w:szCs w:val="24"/>
                <w:lang w:eastAsia="es-AR"/>
              </w:rPr>
            </w:pPr>
            <w:r w:rsidRPr="001642C9">
              <w:rPr>
                <w:rFonts w:ascii="Arial" w:eastAsia="Times New Roman" w:hAnsi="Arial" w:cs="Arial"/>
                <w:b/>
                <w:bCs/>
                <w:color w:val="000000"/>
                <w:sz w:val="24"/>
                <w:szCs w:val="24"/>
                <w:lang w:eastAsia="es-AR"/>
              </w:rPr>
              <w:t>100</w:t>
            </w:r>
          </w:p>
        </w:tc>
      </w:tr>
    </w:tbl>
    <w:p w14:paraId="01F5EC36" w14:textId="77777777" w:rsidR="001642C9" w:rsidRPr="001642C9" w:rsidRDefault="001642C9" w:rsidP="001642C9">
      <w:pPr>
        <w:spacing w:after="0" w:line="360" w:lineRule="auto"/>
        <w:jc w:val="both"/>
        <w:rPr>
          <w:rFonts w:ascii="Arial" w:eastAsia="Times New Roman" w:hAnsi="Arial" w:cs="Arial"/>
          <w:b/>
          <w:bCs/>
          <w:color w:val="000000"/>
          <w:sz w:val="24"/>
          <w:szCs w:val="24"/>
          <w:lang w:eastAsia="es-AR"/>
        </w:rPr>
      </w:pPr>
    </w:p>
    <w:p w14:paraId="52738C7D" w14:textId="77777777" w:rsidR="001642C9" w:rsidRPr="001642C9" w:rsidRDefault="001642C9" w:rsidP="001642C9">
      <w:pPr>
        <w:spacing w:after="0" w:line="360" w:lineRule="auto"/>
        <w:jc w:val="both"/>
        <w:textAlignment w:val="baseline"/>
        <w:rPr>
          <w:rFonts w:ascii="Arial" w:eastAsia="Times New Roman" w:hAnsi="Arial" w:cs="Arial"/>
          <w:color w:val="000000"/>
          <w:sz w:val="24"/>
          <w:szCs w:val="24"/>
          <w:lang w:eastAsia="es-AR"/>
        </w:rPr>
      </w:pPr>
    </w:p>
    <w:p w14:paraId="35E16C15" w14:textId="77777777" w:rsidR="001642C9" w:rsidRPr="001642C9" w:rsidRDefault="001642C9" w:rsidP="001642C9">
      <w:pPr>
        <w:pStyle w:val="Prrafodelista"/>
        <w:numPr>
          <w:ilvl w:val="0"/>
          <w:numId w:val="2"/>
        </w:numPr>
        <w:spacing w:after="0" w:line="360" w:lineRule="auto"/>
        <w:ind w:left="0"/>
        <w:jc w:val="both"/>
        <w:textAlignment w:val="baseline"/>
        <w:rPr>
          <w:rFonts w:ascii="Arial" w:eastAsia="Times New Roman" w:hAnsi="Arial" w:cs="Arial"/>
          <w:color w:val="000000"/>
          <w:sz w:val="24"/>
          <w:szCs w:val="24"/>
          <w:lang w:eastAsia="es-AR"/>
        </w:rPr>
      </w:pPr>
      <w:r w:rsidRPr="001642C9">
        <w:rPr>
          <w:rFonts w:ascii="Arial" w:eastAsia="Times New Roman" w:hAnsi="Arial" w:cs="Arial"/>
          <w:b/>
          <w:bCs/>
          <w:color w:val="000000"/>
          <w:sz w:val="24"/>
          <w:szCs w:val="24"/>
          <w:u w:val="single"/>
          <w:lang w:eastAsia="es-AR"/>
        </w:rPr>
        <w:t>ANTECEDENTES</w:t>
      </w:r>
      <w:r w:rsidRPr="001642C9">
        <w:rPr>
          <w:rFonts w:ascii="Arial" w:eastAsia="Times New Roman" w:hAnsi="Arial" w:cs="Arial"/>
          <w:color w:val="000000"/>
          <w:sz w:val="24"/>
          <w:szCs w:val="24"/>
          <w:lang w:eastAsia="es-AR"/>
        </w:rPr>
        <w:t xml:space="preserve">: </w:t>
      </w:r>
    </w:p>
    <w:p w14:paraId="23FC35DA" w14:textId="77777777" w:rsidR="001642C9" w:rsidRPr="001642C9" w:rsidRDefault="001642C9" w:rsidP="001642C9">
      <w:pPr>
        <w:spacing w:after="0" w:line="360" w:lineRule="auto"/>
        <w:jc w:val="both"/>
        <w:textAlignment w:val="baseline"/>
        <w:rPr>
          <w:rFonts w:ascii="Arial" w:eastAsia="Times New Roman" w:hAnsi="Arial" w:cs="Arial"/>
          <w:color w:val="000000"/>
          <w:sz w:val="24"/>
          <w:szCs w:val="24"/>
          <w:lang w:eastAsia="es-AR"/>
        </w:rPr>
      </w:pPr>
      <w:r w:rsidRPr="001642C9">
        <w:rPr>
          <w:rFonts w:ascii="Arial" w:eastAsia="Times New Roman" w:hAnsi="Arial" w:cs="Arial"/>
          <w:color w:val="000000"/>
          <w:sz w:val="24"/>
          <w:szCs w:val="24"/>
          <w:lang w:eastAsia="es-AR"/>
        </w:rPr>
        <w:t>a.</w:t>
      </w:r>
      <w:r w:rsidRPr="001642C9">
        <w:rPr>
          <w:rFonts w:ascii="Arial" w:eastAsia="Times New Roman" w:hAnsi="Arial" w:cs="Arial"/>
          <w:color w:val="000000"/>
          <w:sz w:val="24"/>
          <w:szCs w:val="24"/>
          <w:lang w:eastAsia="es-AR"/>
        </w:rPr>
        <w:tab/>
      </w:r>
      <w:r w:rsidRPr="001642C9">
        <w:rPr>
          <w:rFonts w:ascii="Arial" w:eastAsia="Times New Roman" w:hAnsi="Arial" w:cs="Arial"/>
          <w:b/>
          <w:bCs/>
          <w:color w:val="000000"/>
          <w:sz w:val="24"/>
          <w:szCs w:val="24"/>
          <w:lang w:eastAsia="es-AR"/>
        </w:rPr>
        <w:t>Contractuales</w:t>
      </w:r>
      <w:r w:rsidRPr="001642C9">
        <w:rPr>
          <w:rFonts w:ascii="Arial" w:eastAsia="Times New Roman" w:hAnsi="Arial" w:cs="Arial"/>
          <w:color w:val="000000"/>
          <w:sz w:val="24"/>
          <w:szCs w:val="24"/>
          <w:lang w:eastAsia="es-AR"/>
        </w:rPr>
        <w:t xml:space="preserve">: Se calificará con el máximo puntaje previsto (5 puntos) a los oferentes que no posean antecedentes en el Registro Único de Proveedores de Mendoza, de penalidades o sanciones aplicadas dentro de los últimos 2 años anteriores a la fecha de apertura de ofertas. En caso de oferentes que no posean en el Registro Único de Proveedores una inscripción vigente en dicho período, también serán calificados con el máximo puntaje (5 puntos). Se calificará con 3 puntos a los </w:t>
      </w:r>
      <w:r w:rsidRPr="001642C9">
        <w:rPr>
          <w:rFonts w:ascii="Arial" w:eastAsia="Times New Roman" w:hAnsi="Arial" w:cs="Arial"/>
          <w:color w:val="000000"/>
          <w:sz w:val="24"/>
          <w:szCs w:val="24"/>
          <w:lang w:eastAsia="es-AR"/>
        </w:rPr>
        <w:lastRenderedPageBreak/>
        <w:t>oferentes que posean sanciones de apercibimiento dentro de los últimos 2 años anteriores a la fecha de apertura de ofertas, inscriptas en el Registro Único de Proveedores de Mendoza u otros de otra jurisdicción Nacional, Provincial o Municipal. Se calificará también con 3 puntos a los oferentes que, no registrando sanciones mediante procedimientos formales, tuvieren antecedentes documentados de prestación “no satisfactoria” del servicio. Se calificará sin puntaje a los oferentes que posean sanciones de suspensión o bajas por incumplimientos contractuales, en el Registro Único de Proveedores de Mendoza u otros de otra jurisdicción Nacional, Provincial o Municipal, dentro de los últimos 2 años anteriores a la fecha de apertura de ofertas.</w:t>
      </w:r>
    </w:p>
    <w:p w14:paraId="1DAAA5F8" w14:textId="77777777" w:rsidR="001642C9" w:rsidRPr="001642C9" w:rsidRDefault="001642C9" w:rsidP="001642C9">
      <w:pPr>
        <w:spacing w:after="0" w:line="360" w:lineRule="auto"/>
        <w:jc w:val="both"/>
        <w:textAlignment w:val="baseline"/>
        <w:rPr>
          <w:rFonts w:ascii="Arial" w:eastAsia="Times New Roman" w:hAnsi="Arial" w:cs="Arial"/>
          <w:color w:val="000000"/>
          <w:sz w:val="24"/>
          <w:szCs w:val="24"/>
          <w:lang w:eastAsia="es-AR"/>
        </w:rPr>
      </w:pPr>
      <w:r w:rsidRPr="001642C9">
        <w:rPr>
          <w:rFonts w:ascii="Arial" w:eastAsia="Times New Roman" w:hAnsi="Arial" w:cs="Arial"/>
          <w:color w:val="000000"/>
          <w:sz w:val="24"/>
          <w:szCs w:val="24"/>
          <w:lang w:eastAsia="es-AR"/>
        </w:rPr>
        <w:t>A los efectos de la evaluación se considerará la información publicada por el Registro Único de Proveedores Provincial y demás Organismos que administren dichos datos a nivel Nacional, Provincial y Municipal</w:t>
      </w:r>
    </w:p>
    <w:p w14:paraId="36ADD04B" w14:textId="77777777" w:rsidR="001642C9" w:rsidRPr="001642C9" w:rsidRDefault="001642C9" w:rsidP="001642C9">
      <w:pPr>
        <w:spacing w:after="0" w:line="360" w:lineRule="auto"/>
        <w:jc w:val="both"/>
        <w:textAlignment w:val="baseline"/>
        <w:rPr>
          <w:rFonts w:ascii="Arial" w:eastAsia="Times New Roman" w:hAnsi="Arial" w:cs="Arial"/>
          <w:color w:val="000000"/>
          <w:sz w:val="24"/>
          <w:szCs w:val="24"/>
          <w:lang w:eastAsia="es-AR"/>
        </w:rPr>
      </w:pPr>
      <w:r w:rsidRPr="001642C9">
        <w:rPr>
          <w:rFonts w:ascii="Arial" w:eastAsia="Times New Roman" w:hAnsi="Arial" w:cs="Arial"/>
          <w:color w:val="000000"/>
          <w:sz w:val="24"/>
          <w:szCs w:val="24"/>
          <w:lang w:eastAsia="es-AR"/>
        </w:rPr>
        <w:t>b.</w:t>
      </w:r>
      <w:r w:rsidRPr="001642C9">
        <w:rPr>
          <w:rFonts w:ascii="Arial" w:eastAsia="Times New Roman" w:hAnsi="Arial" w:cs="Arial"/>
          <w:color w:val="000000"/>
          <w:sz w:val="24"/>
          <w:szCs w:val="24"/>
          <w:lang w:eastAsia="es-AR"/>
        </w:rPr>
        <w:tab/>
      </w:r>
      <w:r w:rsidRPr="001642C9">
        <w:rPr>
          <w:rFonts w:ascii="Arial" w:eastAsia="Times New Roman" w:hAnsi="Arial" w:cs="Arial"/>
          <w:b/>
          <w:bCs/>
          <w:color w:val="000000"/>
          <w:sz w:val="24"/>
          <w:szCs w:val="24"/>
          <w:lang w:eastAsia="es-AR"/>
        </w:rPr>
        <w:t>Comerciales</w:t>
      </w:r>
      <w:r w:rsidRPr="001642C9">
        <w:rPr>
          <w:rFonts w:ascii="Arial" w:eastAsia="Times New Roman" w:hAnsi="Arial" w:cs="Arial"/>
          <w:color w:val="000000"/>
          <w:sz w:val="24"/>
          <w:szCs w:val="24"/>
          <w:lang w:eastAsia="es-AR"/>
        </w:rPr>
        <w:t>: Se otorgará el máximo puntaje previsto (5 puntos), a las ofertas que acrediten el mayor volumen de antecedentes comerciales (monto de ventas o prestación de servicios idénticos o similares a los del objeto de la contratación) que se encuentren fehacientemente documentados y/o certificados por comitentes, dentro de los últimos 3 años anteriores a la publicación de la presente contratación pública. Las demás ofertas serán calificadas con el criterio de proporcionalidad, en función de los antecedentes acompañados.</w:t>
      </w:r>
    </w:p>
    <w:p w14:paraId="451CA5BD" w14:textId="77777777" w:rsidR="001642C9" w:rsidRPr="001642C9" w:rsidRDefault="001642C9" w:rsidP="001642C9">
      <w:pPr>
        <w:spacing w:after="0" w:line="360" w:lineRule="auto"/>
        <w:jc w:val="both"/>
        <w:textAlignment w:val="baseline"/>
        <w:rPr>
          <w:rFonts w:ascii="Arial" w:eastAsia="Times New Roman" w:hAnsi="Arial" w:cs="Arial"/>
          <w:color w:val="000000"/>
          <w:sz w:val="24"/>
          <w:szCs w:val="24"/>
          <w:lang w:eastAsia="es-AR"/>
        </w:rPr>
      </w:pPr>
    </w:p>
    <w:p w14:paraId="770F0AFD" w14:textId="77777777" w:rsidR="001642C9" w:rsidRPr="001642C9" w:rsidRDefault="001642C9" w:rsidP="001642C9">
      <w:pPr>
        <w:pStyle w:val="Prrafodelista"/>
        <w:numPr>
          <w:ilvl w:val="0"/>
          <w:numId w:val="2"/>
        </w:numPr>
        <w:spacing w:after="0" w:line="360" w:lineRule="auto"/>
        <w:ind w:left="0"/>
        <w:jc w:val="both"/>
        <w:textAlignment w:val="baseline"/>
        <w:rPr>
          <w:rFonts w:ascii="Arial" w:eastAsia="Times New Roman" w:hAnsi="Arial" w:cs="Arial"/>
          <w:color w:val="000000"/>
          <w:sz w:val="24"/>
          <w:szCs w:val="24"/>
          <w:lang w:eastAsia="es-AR"/>
        </w:rPr>
      </w:pPr>
      <w:r w:rsidRPr="001642C9">
        <w:rPr>
          <w:rFonts w:ascii="Arial" w:eastAsia="Times New Roman" w:hAnsi="Arial" w:cs="Arial"/>
          <w:b/>
          <w:bCs/>
          <w:color w:val="000000"/>
          <w:sz w:val="24"/>
          <w:szCs w:val="24"/>
          <w:u w:val="single"/>
          <w:lang w:eastAsia="es-AR"/>
        </w:rPr>
        <w:t>PERÌODO DE GARANTÌA</w:t>
      </w:r>
      <w:r w:rsidRPr="001642C9">
        <w:rPr>
          <w:rFonts w:ascii="Arial" w:eastAsia="Times New Roman" w:hAnsi="Arial" w:cs="Arial"/>
          <w:color w:val="000000"/>
          <w:sz w:val="24"/>
          <w:szCs w:val="24"/>
          <w:lang w:eastAsia="es-AR"/>
        </w:rPr>
        <w:t xml:space="preserve">: </w:t>
      </w:r>
    </w:p>
    <w:p w14:paraId="1725891E" w14:textId="77777777" w:rsidR="001642C9" w:rsidRPr="001642C9" w:rsidRDefault="001642C9" w:rsidP="001642C9">
      <w:pPr>
        <w:spacing w:after="0" w:line="360" w:lineRule="auto"/>
        <w:jc w:val="both"/>
        <w:textAlignment w:val="baseline"/>
        <w:rPr>
          <w:rFonts w:ascii="Arial" w:eastAsia="Times New Roman" w:hAnsi="Arial" w:cs="Arial"/>
          <w:color w:val="000000"/>
          <w:sz w:val="24"/>
          <w:szCs w:val="24"/>
          <w:lang w:eastAsia="es-AR"/>
        </w:rPr>
      </w:pPr>
      <w:r w:rsidRPr="001642C9">
        <w:rPr>
          <w:rFonts w:ascii="Arial" w:eastAsia="Times New Roman" w:hAnsi="Arial" w:cs="Arial"/>
          <w:color w:val="000000"/>
          <w:sz w:val="24"/>
          <w:szCs w:val="24"/>
          <w:lang w:eastAsia="es-AR"/>
        </w:rPr>
        <w:t>La propuesta que presente en su oferta el periodo de garantía más amplio, superando el plazo mínimo requerido en el Pliego de Condiciones Particulares, obtendrá el mayor puntaje previsto (5), el resto de las ofertas serán calificadas conforme el criterio de la proporcionalidad.</w:t>
      </w:r>
    </w:p>
    <w:p w14:paraId="160A0B75" w14:textId="7597D6A8" w:rsidR="001642C9" w:rsidRPr="001642C9" w:rsidRDefault="001642C9" w:rsidP="001642C9">
      <w:pPr>
        <w:spacing w:after="0" w:line="360" w:lineRule="auto"/>
        <w:jc w:val="both"/>
        <w:rPr>
          <w:rFonts w:ascii="Arial" w:eastAsia="Times New Roman" w:hAnsi="Arial" w:cs="Arial"/>
          <w:sz w:val="24"/>
          <w:szCs w:val="24"/>
          <w:lang w:eastAsia="es-AR"/>
        </w:rPr>
      </w:pPr>
    </w:p>
    <w:p w14:paraId="1A664CE4" w14:textId="77777777" w:rsidR="001642C9" w:rsidRPr="001642C9" w:rsidRDefault="001642C9" w:rsidP="001642C9">
      <w:pPr>
        <w:pStyle w:val="Prrafodelista"/>
        <w:numPr>
          <w:ilvl w:val="0"/>
          <w:numId w:val="2"/>
        </w:numPr>
        <w:spacing w:after="0" w:line="360" w:lineRule="auto"/>
        <w:ind w:left="0"/>
        <w:jc w:val="both"/>
        <w:textAlignment w:val="baseline"/>
        <w:rPr>
          <w:rFonts w:ascii="Arial" w:eastAsia="Times New Roman" w:hAnsi="Arial" w:cs="Arial"/>
          <w:sz w:val="24"/>
          <w:szCs w:val="24"/>
          <w:lang w:eastAsia="es-AR"/>
        </w:rPr>
      </w:pPr>
      <w:r w:rsidRPr="001642C9">
        <w:rPr>
          <w:rFonts w:ascii="Arial" w:eastAsia="Times New Roman" w:hAnsi="Arial" w:cs="Arial"/>
          <w:b/>
          <w:bCs/>
          <w:color w:val="000000"/>
          <w:sz w:val="24"/>
          <w:szCs w:val="24"/>
          <w:u w:val="single"/>
          <w:lang w:eastAsia="es-AR"/>
        </w:rPr>
        <w:t>CALIDAD DEL EQUIPO</w:t>
      </w:r>
      <w:r w:rsidRPr="001642C9">
        <w:rPr>
          <w:rFonts w:ascii="Arial" w:eastAsia="Times New Roman" w:hAnsi="Arial" w:cs="Arial"/>
          <w:color w:val="000000"/>
          <w:sz w:val="24"/>
          <w:szCs w:val="24"/>
          <w:lang w:eastAsia="es-AR"/>
        </w:rPr>
        <w:t>: </w:t>
      </w:r>
    </w:p>
    <w:p w14:paraId="65A606D1" w14:textId="77777777" w:rsidR="001642C9" w:rsidRPr="001642C9" w:rsidRDefault="001642C9" w:rsidP="001642C9">
      <w:pPr>
        <w:pStyle w:val="Prrafodelista"/>
        <w:numPr>
          <w:ilvl w:val="0"/>
          <w:numId w:val="3"/>
        </w:numPr>
        <w:spacing w:after="0" w:line="360" w:lineRule="auto"/>
        <w:ind w:left="0"/>
        <w:jc w:val="both"/>
        <w:textAlignment w:val="baseline"/>
        <w:rPr>
          <w:rFonts w:ascii="Arial" w:eastAsia="Times New Roman" w:hAnsi="Arial" w:cs="Arial"/>
          <w:color w:val="000000"/>
          <w:sz w:val="24"/>
          <w:szCs w:val="24"/>
          <w:lang w:eastAsia="es-AR"/>
        </w:rPr>
      </w:pPr>
      <w:r w:rsidRPr="001642C9">
        <w:rPr>
          <w:rFonts w:ascii="Arial" w:eastAsia="Times New Roman" w:hAnsi="Arial" w:cs="Arial"/>
          <w:b/>
          <w:bCs/>
          <w:color w:val="000000"/>
          <w:sz w:val="24"/>
          <w:szCs w:val="24"/>
          <w:lang w:eastAsia="es-AR"/>
        </w:rPr>
        <w:t>Resolución de la imagen del monitor</w:t>
      </w:r>
      <w:r w:rsidRPr="001642C9">
        <w:rPr>
          <w:rFonts w:ascii="Arial" w:eastAsia="Times New Roman" w:hAnsi="Arial" w:cs="Arial"/>
          <w:color w:val="000000"/>
          <w:sz w:val="24"/>
          <w:szCs w:val="24"/>
          <w:lang w:eastAsia="es-AR"/>
        </w:rPr>
        <w:t xml:space="preserve">: </w:t>
      </w:r>
    </w:p>
    <w:p w14:paraId="2D605AF7" w14:textId="77777777" w:rsidR="001642C9" w:rsidRPr="001642C9" w:rsidRDefault="001642C9" w:rsidP="001642C9">
      <w:pPr>
        <w:spacing w:after="0" w:line="360" w:lineRule="auto"/>
        <w:jc w:val="both"/>
        <w:textAlignment w:val="baseline"/>
        <w:rPr>
          <w:rFonts w:ascii="Arial" w:eastAsia="Times New Roman" w:hAnsi="Arial" w:cs="Arial"/>
          <w:color w:val="000000"/>
          <w:sz w:val="24"/>
          <w:szCs w:val="24"/>
          <w:lang w:eastAsia="es-AR"/>
        </w:rPr>
      </w:pPr>
      <w:r w:rsidRPr="001642C9">
        <w:rPr>
          <w:rFonts w:ascii="Arial" w:eastAsia="Times New Roman" w:hAnsi="Arial" w:cs="Arial"/>
          <w:color w:val="000000"/>
          <w:sz w:val="24"/>
          <w:szCs w:val="24"/>
          <w:lang w:eastAsia="es-AR"/>
        </w:rPr>
        <w:t xml:space="preserve">Se le asignará el máximo puntaje previsto para este indicador </w:t>
      </w:r>
      <w:r w:rsidRPr="001642C9">
        <w:rPr>
          <w:rFonts w:ascii="Arial" w:eastAsia="Times New Roman" w:hAnsi="Arial" w:cs="Arial"/>
          <w:b/>
          <w:bCs/>
          <w:color w:val="000000"/>
          <w:sz w:val="24"/>
          <w:szCs w:val="24"/>
          <w:lang w:eastAsia="es-AR"/>
        </w:rPr>
        <w:t>(5),</w:t>
      </w:r>
      <w:r w:rsidRPr="001642C9">
        <w:rPr>
          <w:rFonts w:ascii="Arial" w:eastAsia="Times New Roman" w:hAnsi="Arial" w:cs="Arial"/>
          <w:color w:val="000000"/>
          <w:sz w:val="24"/>
          <w:szCs w:val="24"/>
          <w:lang w:eastAsia="es-AR"/>
        </w:rPr>
        <w:t xml:space="preserve"> a la oferta que presente un monitor con la mayor resolución de imagen por sobre el mínimo establecido en el Pliego de Condiciones Técnico, conforme al siguiente criterio:</w:t>
      </w:r>
    </w:p>
    <w:p w14:paraId="648E83CE" w14:textId="77777777" w:rsidR="001642C9" w:rsidRPr="001642C9" w:rsidRDefault="001642C9" w:rsidP="001642C9">
      <w:pPr>
        <w:spacing w:after="0" w:line="360" w:lineRule="auto"/>
        <w:jc w:val="both"/>
        <w:textAlignment w:val="baseline"/>
        <w:rPr>
          <w:rFonts w:ascii="Arial" w:eastAsia="Times New Roman" w:hAnsi="Arial" w:cs="Arial"/>
          <w:color w:val="000000"/>
          <w:sz w:val="24"/>
          <w:szCs w:val="24"/>
          <w:lang w:eastAsia="es-AR"/>
        </w:rPr>
      </w:pPr>
    </w:p>
    <w:p w14:paraId="4A635A04" w14:textId="77777777" w:rsidR="001642C9" w:rsidRPr="001642C9" w:rsidRDefault="001642C9" w:rsidP="001642C9">
      <w:pPr>
        <w:spacing w:after="0" w:line="360" w:lineRule="auto"/>
        <w:jc w:val="both"/>
        <w:textAlignment w:val="baseline"/>
        <w:rPr>
          <w:rFonts w:ascii="Arial" w:eastAsia="Times New Roman" w:hAnsi="Arial" w:cs="Arial"/>
          <w:color w:val="000000"/>
          <w:sz w:val="24"/>
          <w:szCs w:val="24"/>
          <w:lang w:eastAsia="es-AR"/>
        </w:rPr>
      </w:pPr>
      <w:r w:rsidRPr="001642C9">
        <w:rPr>
          <w:rFonts w:ascii="Arial" w:hAnsi="Arial" w:cs="Arial"/>
          <w:noProof/>
          <w:sz w:val="24"/>
          <w:szCs w:val="24"/>
          <w:lang w:eastAsia="es-AR"/>
        </w:rPr>
        <w:lastRenderedPageBreak/>
        <w:drawing>
          <wp:inline distT="0" distB="0" distL="0" distR="0" wp14:anchorId="094AF3E9" wp14:editId="1B7BE81F">
            <wp:extent cx="3875964" cy="791462"/>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5964" cy="791462"/>
                    </a:xfrm>
                    <a:prstGeom prst="rect">
                      <a:avLst/>
                    </a:prstGeom>
                    <a:noFill/>
                    <a:ln>
                      <a:noFill/>
                    </a:ln>
                  </pic:spPr>
                </pic:pic>
              </a:graphicData>
            </a:graphic>
          </wp:inline>
        </w:drawing>
      </w:r>
    </w:p>
    <w:p w14:paraId="60811FAC" w14:textId="77777777" w:rsidR="001642C9" w:rsidRPr="001642C9" w:rsidRDefault="001642C9" w:rsidP="001642C9">
      <w:pPr>
        <w:spacing w:after="0" w:line="360" w:lineRule="auto"/>
        <w:jc w:val="both"/>
        <w:textAlignment w:val="baseline"/>
        <w:rPr>
          <w:rFonts w:ascii="Arial" w:eastAsia="Times New Roman" w:hAnsi="Arial" w:cs="Arial"/>
          <w:color w:val="000000"/>
          <w:sz w:val="24"/>
          <w:szCs w:val="24"/>
          <w:lang w:eastAsia="es-AR"/>
        </w:rPr>
      </w:pPr>
    </w:p>
    <w:p w14:paraId="54A8E99E" w14:textId="77777777" w:rsidR="001642C9" w:rsidRPr="001642C9" w:rsidRDefault="001642C9" w:rsidP="001642C9">
      <w:pPr>
        <w:pStyle w:val="Prrafodelista"/>
        <w:numPr>
          <w:ilvl w:val="0"/>
          <w:numId w:val="3"/>
        </w:numPr>
        <w:spacing w:after="0" w:line="360" w:lineRule="auto"/>
        <w:ind w:left="0"/>
        <w:jc w:val="both"/>
        <w:textAlignment w:val="baseline"/>
        <w:rPr>
          <w:rFonts w:ascii="Arial" w:eastAsia="Times New Roman" w:hAnsi="Arial" w:cs="Arial"/>
          <w:color w:val="000000"/>
          <w:sz w:val="24"/>
          <w:szCs w:val="24"/>
          <w:lang w:eastAsia="es-AR"/>
        </w:rPr>
      </w:pPr>
      <w:r w:rsidRPr="001642C9">
        <w:rPr>
          <w:rFonts w:ascii="Arial" w:eastAsia="Times New Roman" w:hAnsi="Arial" w:cs="Arial"/>
          <w:b/>
          <w:bCs/>
          <w:color w:val="000000"/>
          <w:sz w:val="24"/>
          <w:szCs w:val="24"/>
          <w:lang w:eastAsia="es-AR"/>
        </w:rPr>
        <w:t>Modos de trabajo</w:t>
      </w:r>
      <w:r w:rsidRPr="001642C9">
        <w:rPr>
          <w:rFonts w:ascii="Arial" w:eastAsia="Times New Roman" w:hAnsi="Arial" w:cs="Arial"/>
          <w:color w:val="000000"/>
          <w:sz w:val="24"/>
          <w:szCs w:val="24"/>
          <w:lang w:eastAsia="es-AR"/>
        </w:rPr>
        <w:t xml:space="preserve">: </w:t>
      </w:r>
    </w:p>
    <w:p w14:paraId="6F172DF5" w14:textId="77777777" w:rsidR="001642C9" w:rsidRPr="001642C9" w:rsidRDefault="001642C9" w:rsidP="001642C9">
      <w:pPr>
        <w:spacing w:after="0" w:line="360" w:lineRule="auto"/>
        <w:jc w:val="both"/>
        <w:textAlignment w:val="baseline"/>
        <w:rPr>
          <w:rFonts w:ascii="Arial" w:eastAsia="Times New Roman" w:hAnsi="Arial" w:cs="Arial"/>
          <w:color w:val="000000"/>
          <w:sz w:val="24"/>
          <w:szCs w:val="24"/>
          <w:lang w:eastAsia="es-AR"/>
        </w:rPr>
      </w:pPr>
      <w:r w:rsidRPr="001642C9">
        <w:rPr>
          <w:rFonts w:ascii="Arial" w:eastAsia="Times New Roman" w:hAnsi="Arial" w:cs="Arial"/>
          <w:color w:val="000000"/>
          <w:sz w:val="24"/>
          <w:szCs w:val="24"/>
          <w:lang w:eastAsia="es-AR"/>
        </w:rPr>
        <w:t>Se valorará la oferta que proponga modos de trabajo adicionales a los requeridos en el Pliego de Condiciones Técnicas, considerando que como mínimo los modos de trabajo deben ser B, M y Doppler (en sus distintos tipos). La oferta que proponga la mayor cantidad de modos de trabajo adicionales (como por ejemplo los modos 3D/4D, elastografía, etc.), se les asignará el máximo puntaje previsto (</w:t>
      </w:r>
      <w:r w:rsidRPr="001642C9">
        <w:rPr>
          <w:rFonts w:ascii="Arial" w:eastAsia="Times New Roman" w:hAnsi="Arial" w:cs="Arial"/>
          <w:b/>
          <w:bCs/>
          <w:color w:val="000000"/>
          <w:sz w:val="24"/>
          <w:szCs w:val="24"/>
          <w:lang w:eastAsia="es-AR"/>
        </w:rPr>
        <w:t>5</w:t>
      </w:r>
      <w:r w:rsidRPr="001642C9">
        <w:rPr>
          <w:rFonts w:ascii="Arial" w:eastAsia="Times New Roman" w:hAnsi="Arial" w:cs="Arial"/>
          <w:color w:val="000000"/>
          <w:sz w:val="24"/>
          <w:szCs w:val="24"/>
          <w:lang w:eastAsia="es-AR"/>
        </w:rPr>
        <w:t>). El resto de las ofertas, serán puntuadas conforme al criterio de la proporcionalidad.</w:t>
      </w:r>
    </w:p>
    <w:p w14:paraId="674B0EDB" w14:textId="77777777" w:rsidR="001642C9" w:rsidRPr="001642C9" w:rsidRDefault="001642C9" w:rsidP="001642C9">
      <w:pPr>
        <w:spacing w:after="0" w:line="360" w:lineRule="auto"/>
        <w:jc w:val="both"/>
        <w:textAlignment w:val="baseline"/>
        <w:rPr>
          <w:rFonts w:ascii="Arial" w:eastAsia="Times New Roman" w:hAnsi="Arial" w:cs="Arial"/>
          <w:color w:val="000000"/>
          <w:sz w:val="24"/>
          <w:szCs w:val="24"/>
          <w:lang w:eastAsia="es-AR"/>
        </w:rPr>
      </w:pPr>
    </w:p>
    <w:p w14:paraId="4585D554" w14:textId="77777777" w:rsidR="001642C9" w:rsidRPr="001642C9" w:rsidRDefault="001642C9" w:rsidP="001642C9">
      <w:pPr>
        <w:pStyle w:val="Prrafodelista"/>
        <w:numPr>
          <w:ilvl w:val="0"/>
          <w:numId w:val="3"/>
        </w:numPr>
        <w:spacing w:after="0" w:line="360" w:lineRule="auto"/>
        <w:ind w:left="0"/>
        <w:jc w:val="both"/>
        <w:textAlignment w:val="baseline"/>
        <w:rPr>
          <w:rFonts w:ascii="Arial" w:eastAsia="Times New Roman" w:hAnsi="Arial" w:cs="Arial"/>
          <w:color w:val="000000"/>
          <w:sz w:val="24"/>
          <w:szCs w:val="24"/>
          <w:lang w:eastAsia="es-AR"/>
        </w:rPr>
      </w:pPr>
      <w:r w:rsidRPr="001642C9">
        <w:rPr>
          <w:rFonts w:ascii="Arial" w:eastAsia="Times New Roman" w:hAnsi="Arial" w:cs="Arial"/>
          <w:b/>
          <w:bCs/>
          <w:color w:val="000000"/>
          <w:sz w:val="24"/>
          <w:szCs w:val="24"/>
          <w:lang w:eastAsia="es-AR"/>
        </w:rPr>
        <w:t>Frecuencia del transductor</w:t>
      </w:r>
      <w:r w:rsidRPr="001642C9">
        <w:rPr>
          <w:rFonts w:ascii="Arial" w:eastAsia="Times New Roman" w:hAnsi="Arial" w:cs="Arial"/>
          <w:color w:val="000000"/>
          <w:sz w:val="24"/>
          <w:szCs w:val="24"/>
          <w:lang w:eastAsia="es-AR"/>
        </w:rPr>
        <w:t xml:space="preserve">: </w:t>
      </w:r>
    </w:p>
    <w:p w14:paraId="3A55D554" w14:textId="77777777" w:rsidR="001642C9" w:rsidRPr="001642C9" w:rsidRDefault="001642C9" w:rsidP="001642C9">
      <w:pPr>
        <w:spacing w:after="0" w:line="360" w:lineRule="auto"/>
        <w:jc w:val="both"/>
        <w:textAlignment w:val="baseline"/>
        <w:rPr>
          <w:rFonts w:ascii="Arial" w:eastAsia="Times New Roman" w:hAnsi="Arial" w:cs="Arial"/>
          <w:color w:val="000000"/>
          <w:sz w:val="24"/>
          <w:szCs w:val="24"/>
          <w:lang w:eastAsia="es-AR"/>
        </w:rPr>
      </w:pPr>
      <w:r w:rsidRPr="001642C9">
        <w:rPr>
          <w:rFonts w:ascii="Arial" w:eastAsia="Times New Roman" w:hAnsi="Arial" w:cs="Arial"/>
          <w:sz w:val="24"/>
          <w:szCs w:val="24"/>
          <w:lang w:eastAsia="es-AR"/>
        </w:rPr>
        <w:t>Se asignará el puntaje máximo (</w:t>
      </w:r>
      <w:r w:rsidRPr="001642C9">
        <w:rPr>
          <w:rFonts w:ascii="Arial" w:eastAsia="Times New Roman" w:hAnsi="Arial" w:cs="Arial"/>
          <w:b/>
          <w:bCs/>
          <w:sz w:val="24"/>
          <w:szCs w:val="24"/>
          <w:lang w:eastAsia="es-AR"/>
        </w:rPr>
        <w:t>5</w:t>
      </w:r>
      <w:r w:rsidRPr="001642C9">
        <w:rPr>
          <w:rFonts w:ascii="Arial" w:eastAsia="Times New Roman" w:hAnsi="Arial" w:cs="Arial"/>
          <w:sz w:val="24"/>
          <w:szCs w:val="24"/>
          <w:lang w:eastAsia="es-AR"/>
        </w:rPr>
        <w:t>) a las ofertas de ecógrafos que incluyan transductores que ofrezcan el mayor rango de frecuencia. El resto de las ofertas, serán puntuadas conforme al criterio de la proporcionalidad.</w:t>
      </w:r>
    </w:p>
    <w:p w14:paraId="09E5BAE1" w14:textId="77777777" w:rsidR="001642C9" w:rsidRPr="001642C9" w:rsidRDefault="001642C9" w:rsidP="001642C9">
      <w:pPr>
        <w:pStyle w:val="Prrafodelista"/>
        <w:spacing w:after="0" w:line="360" w:lineRule="auto"/>
        <w:ind w:left="0"/>
        <w:jc w:val="both"/>
        <w:rPr>
          <w:rFonts w:ascii="Arial" w:eastAsia="Times New Roman" w:hAnsi="Arial" w:cs="Arial"/>
          <w:sz w:val="24"/>
          <w:szCs w:val="24"/>
          <w:lang w:eastAsia="es-AR"/>
        </w:rPr>
      </w:pPr>
    </w:p>
    <w:p w14:paraId="4D3F0887" w14:textId="77777777" w:rsidR="001642C9" w:rsidRPr="001642C9" w:rsidRDefault="001642C9" w:rsidP="001642C9">
      <w:pPr>
        <w:pStyle w:val="Prrafodelista"/>
        <w:numPr>
          <w:ilvl w:val="0"/>
          <w:numId w:val="3"/>
        </w:numPr>
        <w:spacing w:after="0" w:line="360" w:lineRule="auto"/>
        <w:ind w:left="0"/>
        <w:jc w:val="both"/>
        <w:textAlignment w:val="baseline"/>
        <w:rPr>
          <w:rFonts w:ascii="Arial" w:eastAsia="Times New Roman" w:hAnsi="Arial" w:cs="Arial"/>
          <w:color w:val="000000"/>
          <w:sz w:val="24"/>
          <w:szCs w:val="24"/>
          <w:lang w:eastAsia="es-AR"/>
        </w:rPr>
      </w:pPr>
      <w:r w:rsidRPr="001642C9">
        <w:rPr>
          <w:rFonts w:ascii="Arial" w:eastAsia="Times New Roman" w:hAnsi="Arial" w:cs="Arial"/>
          <w:b/>
          <w:bCs/>
          <w:color w:val="000000"/>
          <w:sz w:val="24"/>
          <w:szCs w:val="24"/>
          <w:lang w:eastAsia="es-AR"/>
        </w:rPr>
        <w:t>Almacenamiento en GB</w:t>
      </w:r>
      <w:r w:rsidRPr="001642C9">
        <w:rPr>
          <w:rFonts w:ascii="Arial" w:eastAsia="Times New Roman" w:hAnsi="Arial" w:cs="Arial"/>
          <w:color w:val="000000"/>
          <w:sz w:val="24"/>
          <w:szCs w:val="24"/>
          <w:lang w:eastAsia="es-AR"/>
        </w:rPr>
        <w:t xml:space="preserve">: </w:t>
      </w:r>
    </w:p>
    <w:p w14:paraId="06370521" w14:textId="77777777" w:rsidR="001642C9" w:rsidRPr="001642C9" w:rsidRDefault="001642C9" w:rsidP="001642C9">
      <w:pPr>
        <w:spacing w:after="0" w:line="360" w:lineRule="auto"/>
        <w:jc w:val="both"/>
        <w:textAlignment w:val="baseline"/>
        <w:rPr>
          <w:rFonts w:ascii="Arial" w:eastAsia="Times New Roman" w:hAnsi="Arial" w:cs="Arial"/>
          <w:color w:val="000000"/>
          <w:sz w:val="24"/>
          <w:szCs w:val="24"/>
          <w:lang w:eastAsia="es-AR"/>
        </w:rPr>
      </w:pPr>
      <w:r w:rsidRPr="001642C9">
        <w:rPr>
          <w:rFonts w:ascii="Arial" w:eastAsia="Times New Roman" w:hAnsi="Arial" w:cs="Arial"/>
          <w:color w:val="000000"/>
          <w:sz w:val="24"/>
          <w:szCs w:val="24"/>
          <w:lang w:eastAsia="es-AR"/>
        </w:rPr>
        <w:t>Se le asignará el máximo puntaje previsto para este indicador (</w:t>
      </w:r>
      <w:r w:rsidRPr="001642C9">
        <w:rPr>
          <w:rFonts w:ascii="Arial" w:eastAsia="Times New Roman" w:hAnsi="Arial" w:cs="Arial"/>
          <w:b/>
          <w:bCs/>
          <w:color w:val="000000"/>
          <w:sz w:val="24"/>
          <w:szCs w:val="24"/>
          <w:lang w:eastAsia="es-AR"/>
        </w:rPr>
        <w:t>2,5</w:t>
      </w:r>
      <w:r w:rsidRPr="001642C9">
        <w:rPr>
          <w:rFonts w:ascii="Arial" w:eastAsia="Times New Roman" w:hAnsi="Arial" w:cs="Arial"/>
          <w:color w:val="000000"/>
          <w:sz w:val="24"/>
          <w:szCs w:val="24"/>
          <w:lang w:eastAsia="es-AR"/>
        </w:rPr>
        <w:t xml:space="preserve">), a la oferta que exhiba la mayor capacidad de almacenamiento en GB, ya sea en dispositivos de almacenamiento propio o mediante servicios de almacenamiento en la nube. </w:t>
      </w:r>
      <w:r w:rsidRPr="001642C9">
        <w:rPr>
          <w:rFonts w:ascii="Arial" w:eastAsia="Times New Roman" w:hAnsi="Arial" w:cs="Arial"/>
          <w:sz w:val="24"/>
          <w:szCs w:val="24"/>
          <w:lang w:eastAsia="es-AR"/>
        </w:rPr>
        <w:t>El resto de las ofertas, serán puntuadas conforme al criterio de la proporcionalidad</w:t>
      </w:r>
      <w:r w:rsidRPr="001642C9">
        <w:rPr>
          <w:rFonts w:ascii="Arial" w:eastAsia="Times New Roman" w:hAnsi="Arial" w:cs="Arial"/>
          <w:color w:val="000000"/>
          <w:sz w:val="24"/>
          <w:szCs w:val="24"/>
          <w:lang w:eastAsia="es-AR"/>
        </w:rPr>
        <w:t>.</w:t>
      </w:r>
    </w:p>
    <w:p w14:paraId="07CC6D8D" w14:textId="77777777" w:rsidR="001642C9" w:rsidRPr="001642C9" w:rsidRDefault="001642C9" w:rsidP="001642C9">
      <w:pPr>
        <w:spacing w:after="0" w:line="360" w:lineRule="auto"/>
        <w:jc w:val="both"/>
        <w:textAlignment w:val="baseline"/>
        <w:rPr>
          <w:rFonts w:ascii="Arial" w:hAnsi="Arial" w:cs="Arial"/>
          <w:sz w:val="24"/>
          <w:szCs w:val="24"/>
        </w:rPr>
      </w:pPr>
    </w:p>
    <w:p w14:paraId="4893744B" w14:textId="77777777" w:rsidR="001642C9" w:rsidRPr="001642C9" w:rsidRDefault="001642C9" w:rsidP="001642C9">
      <w:pPr>
        <w:pStyle w:val="Prrafodelista"/>
        <w:numPr>
          <w:ilvl w:val="0"/>
          <w:numId w:val="3"/>
        </w:numPr>
        <w:spacing w:after="0" w:line="360" w:lineRule="auto"/>
        <w:ind w:left="0"/>
        <w:jc w:val="both"/>
        <w:textAlignment w:val="baseline"/>
        <w:rPr>
          <w:rFonts w:ascii="Arial" w:hAnsi="Arial" w:cs="Arial"/>
          <w:sz w:val="24"/>
          <w:szCs w:val="24"/>
        </w:rPr>
      </w:pPr>
      <w:r w:rsidRPr="001642C9">
        <w:rPr>
          <w:rFonts w:ascii="Arial" w:hAnsi="Arial" w:cs="Arial"/>
          <w:b/>
          <w:bCs/>
          <w:sz w:val="24"/>
          <w:szCs w:val="24"/>
        </w:rPr>
        <w:t>Autonomía de la batería</w:t>
      </w:r>
      <w:r w:rsidRPr="001642C9">
        <w:rPr>
          <w:rFonts w:ascii="Arial" w:hAnsi="Arial" w:cs="Arial"/>
          <w:sz w:val="24"/>
          <w:szCs w:val="24"/>
        </w:rPr>
        <w:t xml:space="preserve">: </w:t>
      </w:r>
    </w:p>
    <w:p w14:paraId="5BE13251" w14:textId="77777777" w:rsidR="001642C9" w:rsidRPr="001642C9" w:rsidRDefault="001642C9" w:rsidP="001642C9">
      <w:pPr>
        <w:spacing w:after="0" w:line="360" w:lineRule="auto"/>
        <w:jc w:val="both"/>
        <w:textAlignment w:val="baseline"/>
        <w:rPr>
          <w:rFonts w:ascii="Arial" w:hAnsi="Arial" w:cs="Arial"/>
          <w:sz w:val="24"/>
          <w:szCs w:val="24"/>
        </w:rPr>
      </w:pPr>
      <w:r w:rsidRPr="001642C9">
        <w:rPr>
          <w:rFonts w:ascii="Arial" w:hAnsi="Arial" w:cs="Arial"/>
          <w:sz w:val="24"/>
          <w:szCs w:val="24"/>
        </w:rPr>
        <w:t>Se le asignará el máximo puntaje previsto (</w:t>
      </w:r>
      <w:r w:rsidRPr="001642C9">
        <w:rPr>
          <w:rFonts w:ascii="Arial" w:hAnsi="Arial" w:cs="Arial"/>
          <w:b/>
          <w:bCs/>
          <w:sz w:val="24"/>
          <w:szCs w:val="24"/>
        </w:rPr>
        <w:t>2,5</w:t>
      </w:r>
      <w:r w:rsidRPr="001642C9">
        <w:rPr>
          <w:rFonts w:ascii="Arial" w:hAnsi="Arial" w:cs="Arial"/>
          <w:sz w:val="24"/>
          <w:szCs w:val="24"/>
        </w:rPr>
        <w:t xml:space="preserve">) a la oferta que presente el equipo cuya batería posea mayor tiempo de funcionamiento de manera autónoma. </w:t>
      </w:r>
      <w:r w:rsidRPr="001642C9">
        <w:rPr>
          <w:rFonts w:ascii="Arial" w:eastAsia="Times New Roman" w:hAnsi="Arial" w:cs="Arial"/>
          <w:sz w:val="24"/>
          <w:szCs w:val="24"/>
          <w:lang w:eastAsia="es-AR"/>
        </w:rPr>
        <w:t>El resto de las ofertas, serán puntuadas conforme al criterio de la proporcionalidad</w:t>
      </w:r>
      <w:r w:rsidRPr="001642C9">
        <w:rPr>
          <w:rFonts w:ascii="Arial" w:hAnsi="Arial" w:cs="Arial"/>
          <w:sz w:val="24"/>
          <w:szCs w:val="24"/>
        </w:rPr>
        <w:t>.</w:t>
      </w:r>
    </w:p>
    <w:p w14:paraId="69543BCB" w14:textId="77777777" w:rsidR="001642C9" w:rsidRPr="001642C9" w:rsidRDefault="001642C9" w:rsidP="001642C9">
      <w:pPr>
        <w:spacing w:after="0" w:line="360" w:lineRule="auto"/>
        <w:jc w:val="both"/>
        <w:textAlignment w:val="baseline"/>
        <w:rPr>
          <w:rFonts w:ascii="Arial" w:hAnsi="Arial" w:cs="Arial"/>
          <w:sz w:val="24"/>
          <w:szCs w:val="24"/>
        </w:rPr>
      </w:pPr>
    </w:p>
    <w:p w14:paraId="5F86C9F0" w14:textId="77777777" w:rsidR="001642C9" w:rsidRPr="001642C9" w:rsidRDefault="001642C9" w:rsidP="001642C9">
      <w:pPr>
        <w:pStyle w:val="Prrafodelista"/>
        <w:numPr>
          <w:ilvl w:val="0"/>
          <w:numId w:val="3"/>
        </w:numPr>
        <w:spacing w:after="0" w:line="360" w:lineRule="auto"/>
        <w:ind w:left="0"/>
        <w:jc w:val="both"/>
        <w:textAlignment w:val="baseline"/>
        <w:rPr>
          <w:rFonts w:ascii="Arial" w:hAnsi="Arial" w:cs="Arial"/>
          <w:sz w:val="24"/>
          <w:szCs w:val="24"/>
        </w:rPr>
      </w:pPr>
      <w:r w:rsidRPr="001642C9">
        <w:rPr>
          <w:rFonts w:ascii="Arial" w:hAnsi="Arial" w:cs="Arial"/>
          <w:b/>
          <w:bCs/>
          <w:sz w:val="24"/>
          <w:szCs w:val="24"/>
        </w:rPr>
        <w:t>Portabilidad</w:t>
      </w:r>
    </w:p>
    <w:p w14:paraId="50FDEB4E" w14:textId="77777777" w:rsidR="001642C9" w:rsidRPr="001642C9" w:rsidRDefault="001642C9" w:rsidP="001642C9">
      <w:pPr>
        <w:spacing w:after="0" w:line="360" w:lineRule="auto"/>
        <w:jc w:val="both"/>
        <w:textAlignment w:val="baseline"/>
        <w:rPr>
          <w:rFonts w:ascii="Arial" w:hAnsi="Arial" w:cs="Arial"/>
          <w:sz w:val="24"/>
          <w:szCs w:val="24"/>
        </w:rPr>
      </w:pPr>
      <w:r w:rsidRPr="001642C9">
        <w:rPr>
          <w:rFonts w:ascii="Arial" w:hAnsi="Arial" w:cs="Arial"/>
          <w:sz w:val="24"/>
          <w:szCs w:val="24"/>
        </w:rPr>
        <w:t>Se le asignará el máximo puntaje previsto (</w:t>
      </w:r>
      <w:r w:rsidRPr="001642C9">
        <w:rPr>
          <w:rFonts w:ascii="Arial" w:hAnsi="Arial" w:cs="Arial"/>
          <w:b/>
          <w:bCs/>
          <w:sz w:val="24"/>
          <w:szCs w:val="24"/>
        </w:rPr>
        <w:t>2,5</w:t>
      </w:r>
      <w:r w:rsidRPr="001642C9">
        <w:rPr>
          <w:rFonts w:ascii="Arial" w:hAnsi="Arial" w:cs="Arial"/>
          <w:sz w:val="24"/>
          <w:szCs w:val="24"/>
        </w:rPr>
        <w:t xml:space="preserve">) a la oferta que proponga el equipo (incluyendo el carro accesorio de traslado) que posea el menor peso medido en kg. </w:t>
      </w:r>
      <w:r w:rsidRPr="001642C9">
        <w:rPr>
          <w:rFonts w:ascii="Arial" w:eastAsia="Times New Roman" w:hAnsi="Arial" w:cs="Arial"/>
          <w:sz w:val="24"/>
          <w:szCs w:val="24"/>
          <w:lang w:eastAsia="es-AR"/>
        </w:rPr>
        <w:t>El resto de las ofertas, serán puntuadas conforme al criterio de la proporcionalidad</w:t>
      </w:r>
      <w:r w:rsidRPr="001642C9">
        <w:rPr>
          <w:rFonts w:ascii="Arial" w:hAnsi="Arial" w:cs="Arial"/>
          <w:sz w:val="24"/>
          <w:szCs w:val="24"/>
        </w:rPr>
        <w:t>.</w:t>
      </w:r>
    </w:p>
    <w:p w14:paraId="3838F77D" w14:textId="77777777" w:rsidR="001642C9" w:rsidRPr="001642C9" w:rsidRDefault="001642C9" w:rsidP="001642C9">
      <w:pPr>
        <w:spacing w:after="0" w:line="360" w:lineRule="auto"/>
        <w:jc w:val="both"/>
        <w:textAlignment w:val="baseline"/>
        <w:rPr>
          <w:rFonts w:ascii="Arial" w:hAnsi="Arial" w:cs="Arial"/>
          <w:sz w:val="24"/>
          <w:szCs w:val="24"/>
        </w:rPr>
      </w:pPr>
    </w:p>
    <w:p w14:paraId="7C7B3C51" w14:textId="77777777" w:rsidR="001642C9" w:rsidRPr="001642C9" w:rsidRDefault="001642C9" w:rsidP="001642C9">
      <w:pPr>
        <w:pStyle w:val="Prrafodelista"/>
        <w:numPr>
          <w:ilvl w:val="0"/>
          <w:numId w:val="3"/>
        </w:numPr>
        <w:spacing w:after="0" w:line="360" w:lineRule="auto"/>
        <w:ind w:left="0"/>
        <w:jc w:val="both"/>
        <w:textAlignment w:val="baseline"/>
        <w:rPr>
          <w:rFonts w:ascii="Arial" w:hAnsi="Arial" w:cs="Arial"/>
          <w:sz w:val="24"/>
          <w:szCs w:val="24"/>
        </w:rPr>
      </w:pPr>
      <w:r w:rsidRPr="001642C9">
        <w:rPr>
          <w:rFonts w:ascii="Arial" w:hAnsi="Arial" w:cs="Arial"/>
          <w:b/>
          <w:bCs/>
          <w:sz w:val="24"/>
          <w:szCs w:val="24"/>
        </w:rPr>
        <w:lastRenderedPageBreak/>
        <w:t>Conectividad</w:t>
      </w:r>
    </w:p>
    <w:p w14:paraId="1EC5DB53" w14:textId="77777777" w:rsidR="001642C9" w:rsidRPr="001642C9" w:rsidRDefault="001642C9" w:rsidP="001642C9">
      <w:pPr>
        <w:spacing w:after="0" w:line="360" w:lineRule="auto"/>
        <w:jc w:val="both"/>
        <w:textAlignment w:val="baseline"/>
        <w:rPr>
          <w:rFonts w:ascii="Arial" w:eastAsia="Times New Roman" w:hAnsi="Arial" w:cs="Arial"/>
          <w:color w:val="000000"/>
          <w:sz w:val="24"/>
          <w:szCs w:val="24"/>
          <w:lang w:eastAsia="es-AR"/>
        </w:rPr>
      </w:pPr>
      <w:r w:rsidRPr="001642C9">
        <w:rPr>
          <w:rFonts w:ascii="Arial" w:eastAsia="Times New Roman" w:hAnsi="Arial" w:cs="Arial"/>
          <w:color w:val="000000"/>
          <w:sz w:val="24"/>
          <w:szCs w:val="24"/>
          <w:lang w:eastAsia="es-AR"/>
        </w:rPr>
        <w:t>Se asignará el puntaje previsto (</w:t>
      </w:r>
      <w:r w:rsidRPr="001642C9">
        <w:rPr>
          <w:rFonts w:ascii="Arial" w:eastAsia="Times New Roman" w:hAnsi="Arial" w:cs="Arial"/>
          <w:b/>
          <w:bCs/>
          <w:color w:val="000000"/>
          <w:sz w:val="24"/>
          <w:szCs w:val="24"/>
          <w:lang w:eastAsia="es-AR"/>
        </w:rPr>
        <w:t>2,5</w:t>
      </w:r>
      <w:r w:rsidRPr="001642C9">
        <w:rPr>
          <w:rFonts w:ascii="Arial" w:eastAsia="Times New Roman" w:hAnsi="Arial" w:cs="Arial"/>
          <w:color w:val="000000"/>
          <w:sz w:val="24"/>
          <w:szCs w:val="24"/>
          <w:lang w:eastAsia="es-AR"/>
        </w:rPr>
        <w:t>) a la oferta que proponga un equipo con conectividad WIFI y Bluetooth. Los equipos que no dispongan de dicha conectividad serán calificados sin puntaje.</w:t>
      </w:r>
    </w:p>
    <w:p w14:paraId="277BC836" w14:textId="77777777" w:rsidR="001642C9" w:rsidRPr="001642C9" w:rsidRDefault="001642C9" w:rsidP="001642C9">
      <w:pPr>
        <w:spacing w:after="0" w:line="360" w:lineRule="auto"/>
        <w:jc w:val="both"/>
        <w:textAlignment w:val="baseline"/>
        <w:rPr>
          <w:rFonts w:ascii="Arial" w:eastAsia="Times New Roman" w:hAnsi="Arial" w:cs="Arial"/>
          <w:color w:val="000000"/>
          <w:sz w:val="24"/>
          <w:szCs w:val="24"/>
          <w:lang w:eastAsia="es-AR"/>
        </w:rPr>
      </w:pPr>
    </w:p>
    <w:p w14:paraId="52BC76EA" w14:textId="77777777" w:rsidR="001642C9" w:rsidRPr="001642C9" w:rsidRDefault="001642C9" w:rsidP="001642C9">
      <w:pPr>
        <w:pStyle w:val="Prrafodelista"/>
        <w:numPr>
          <w:ilvl w:val="0"/>
          <w:numId w:val="3"/>
        </w:numPr>
        <w:spacing w:after="0" w:line="360" w:lineRule="auto"/>
        <w:ind w:left="0"/>
        <w:jc w:val="both"/>
        <w:textAlignment w:val="baseline"/>
        <w:rPr>
          <w:rFonts w:ascii="Arial" w:hAnsi="Arial" w:cs="Arial"/>
          <w:sz w:val="24"/>
          <w:szCs w:val="24"/>
        </w:rPr>
      </w:pPr>
      <w:r w:rsidRPr="001642C9">
        <w:rPr>
          <w:rFonts w:ascii="Arial" w:hAnsi="Arial" w:cs="Arial"/>
          <w:b/>
          <w:bCs/>
          <w:sz w:val="24"/>
          <w:szCs w:val="24"/>
        </w:rPr>
        <w:t>Software</w:t>
      </w:r>
    </w:p>
    <w:p w14:paraId="232ACACC" w14:textId="77777777" w:rsidR="001642C9" w:rsidRPr="001642C9" w:rsidRDefault="001642C9" w:rsidP="001642C9">
      <w:pPr>
        <w:spacing w:after="0" w:line="360" w:lineRule="auto"/>
        <w:jc w:val="both"/>
        <w:textAlignment w:val="baseline"/>
        <w:rPr>
          <w:rFonts w:ascii="Arial" w:eastAsia="Times New Roman" w:hAnsi="Arial" w:cs="Arial"/>
          <w:color w:val="000000"/>
          <w:sz w:val="24"/>
          <w:szCs w:val="24"/>
          <w:lang w:eastAsia="es-AR"/>
        </w:rPr>
      </w:pPr>
      <w:r w:rsidRPr="001642C9">
        <w:rPr>
          <w:rFonts w:ascii="Arial" w:eastAsia="Times New Roman" w:hAnsi="Arial" w:cs="Arial"/>
          <w:color w:val="000000"/>
          <w:sz w:val="24"/>
          <w:szCs w:val="24"/>
          <w:lang w:eastAsia="es-AR"/>
        </w:rPr>
        <w:t>Se asignará el máximo puntaje previsto (</w:t>
      </w:r>
      <w:r w:rsidRPr="001642C9">
        <w:rPr>
          <w:rFonts w:ascii="Arial" w:eastAsia="Times New Roman" w:hAnsi="Arial" w:cs="Arial"/>
          <w:b/>
          <w:bCs/>
          <w:color w:val="000000"/>
          <w:sz w:val="24"/>
          <w:szCs w:val="24"/>
          <w:lang w:eastAsia="es-AR"/>
        </w:rPr>
        <w:t>2,5</w:t>
      </w:r>
      <w:r w:rsidRPr="001642C9">
        <w:rPr>
          <w:rFonts w:ascii="Arial" w:eastAsia="Times New Roman" w:hAnsi="Arial" w:cs="Arial"/>
          <w:color w:val="000000"/>
          <w:sz w:val="24"/>
          <w:szCs w:val="24"/>
          <w:lang w:eastAsia="es-AR"/>
        </w:rPr>
        <w:t>) a la oferta que proponga un software de gestión con funcionalidades basadas en tecnología de Inteligencia Artificial. Los equipos que no dispongan de dicha conectividad serán calificados sin puntaje.</w:t>
      </w:r>
    </w:p>
    <w:p w14:paraId="3BB2BB24" w14:textId="77777777" w:rsidR="001642C9" w:rsidRPr="001642C9" w:rsidRDefault="001642C9" w:rsidP="001642C9">
      <w:pPr>
        <w:spacing w:after="0" w:line="360" w:lineRule="auto"/>
        <w:jc w:val="both"/>
        <w:textAlignment w:val="baseline"/>
        <w:rPr>
          <w:rFonts w:ascii="Arial" w:eastAsia="Times New Roman" w:hAnsi="Arial" w:cs="Arial"/>
          <w:color w:val="000000"/>
          <w:sz w:val="24"/>
          <w:szCs w:val="24"/>
          <w:lang w:eastAsia="es-AR"/>
        </w:rPr>
      </w:pPr>
    </w:p>
    <w:p w14:paraId="52C23569" w14:textId="77777777" w:rsidR="001642C9" w:rsidRPr="001642C9" w:rsidRDefault="001642C9" w:rsidP="001642C9">
      <w:pPr>
        <w:pStyle w:val="Prrafodelista"/>
        <w:numPr>
          <w:ilvl w:val="0"/>
          <w:numId w:val="3"/>
        </w:numPr>
        <w:spacing w:after="0" w:line="360" w:lineRule="auto"/>
        <w:ind w:left="0"/>
        <w:jc w:val="both"/>
        <w:textAlignment w:val="baseline"/>
        <w:rPr>
          <w:rFonts w:ascii="Arial" w:hAnsi="Arial" w:cs="Arial"/>
          <w:sz w:val="24"/>
          <w:szCs w:val="24"/>
        </w:rPr>
      </w:pPr>
      <w:r w:rsidRPr="001642C9">
        <w:rPr>
          <w:rFonts w:ascii="Arial" w:hAnsi="Arial" w:cs="Arial"/>
          <w:b/>
          <w:bCs/>
          <w:sz w:val="24"/>
          <w:szCs w:val="24"/>
        </w:rPr>
        <w:t>Compatibilidad y sincronización</w:t>
      </w:r>
    </w:p>
    <w:p w14:paraId="7F87D51B" w14:textId="77777777" w:rsidR="001642C9" w:rsidRPr="001642C9" w:rsidRDefault="001642C9" w:rsidP="001642C9">
      <w:pPr>
        <w:spacing w:after="0" w:line="360" w:lineRule="auto"/>
        <w:jc w:val="both"/>
        <w:textAlignment w:val="baseline"/>
        <w:rPr>
          <w:rFonts w:ascii="Arial" w:eastAsia="Times New Roman" w:hAnsi="Arial" w:cs="Arial"/>
          <w:color w:val="000000"/>
          <w:sz w:val="24"/>
          <w:szCs w:val="24"/>
          <w:lang w:eastAsia="es-AR"/>
        </w:rPr>
      </w:pPr>
      <w:r w:rsidRPr="001642C9">
        <w:rPr>
          <w:rFonts w:ascii="Arial" w:eastAsia="Times New Roman" w:hAnsi="Arial" w:cs="Arial"/>
          <w:color w:val="000000"/>
          <w:sz w:val="24"/>
          <w:szCs w:val="24"/>
          <w:lang w:eastAsia="es-AR"/>
        </w:rPr>
        <w:t>Se asignará el máximo puntaje previsto (</w:t>
      </w:r>
      <w:r w:rsidRPr="001642C9">
        <w:rPr>
          <w:rFonts w:ascii="Arial" w:eastAsia="Times New Roman" w:hAnsi="Arial" w:cs="Arial"/>
          <w:b/>
          <w:bCs/>
          <w:color w:val="000000"/>
          <w:sz w:val="24"/>
          <w:szCs w:val="24"/>
          <w:lang w:eastAsia="es-AR"/>
        </w:rPr>
        <w:t>2,5</w:t>
      </w:r>
      <w:r w:rsidRPr="001642C9">
        <w:rPr>
          <w:rFonts w:ascii="Arial" w:eastAsia="Times New Roman" w:hAnsi="Arial" w:cs="Arial"/>
          <w:color w:val="000000"/>
          <w:sz w:val="24"/>
          <w:szCs w:val="24"/>
          <w:lang w:eastAsia="es-AR"/>
        </w:rPr>
        <w:t xml:space="preserve">) a la oferta que proponga un software de gestión que sea compatible y sincronizable con otros dispositivos (ej. teléfonos móviles, tablets, etc.) </w:t>
      </w:r>
    </w:p>
    <w:p w14:paraId="19077674" w14:textId="77777777" w:rsidR="001642C9" w:rsidRPr="001642C9" w:rsidRDefault="001642C9" w:rsidP="001642C9">
      <w:pPr>
        <w:spacing w:after="0" w:line="360" w:lineRule="auto"/>
        <w:jc w:val="both"/>
        <w:textAlignment w:val="baseline"/>
        <w:rPr>
          <w:rFonts w:ascii="Arial" w:eastAsia="Times New Roman" w:hAnsi="Arial" w:cs="Arial"/>
          <w:color w:val="000000"/>
          <w:sz w:val="24"/>
          <w:szCs w:val="24"/>
          <w:lang w:eastAsia="es-AR"/>
        </w:rPr>
      </w:pPr>
    </w:p>
    <w:p w14:paraId="4E580D8A" w14:textId="77777777" w:rsidR="001642C9" w:rsidRPr="001642C9" w:rsidRDefault="001642C9" w:rsidP="001642C9">
      <w:pPr>
        <w:numPr>
          <w:ilvl w:val="0"/>
          <w:numId w:val="1"/>
        </w:numPr>
        <w:spacing w:after="0" w:line="360" w:lineRule="auto"/>
        <w:jc w:val="both"/>
        <w:textAlignment w:val="baseline"/>
        <w:rPr>
          <w:rFonts w:ascii="Arial" w:eastAsia="Times New Roman" w:hAnsi="Arial" w:cs="Arial"/>
          <w:color w:val="000000"/>
          <w:sz w:val="24"/>
          <w:szCs w:val="24"/>
          <w:lang w:eastAsia="es-AR"/>
        </w:rPr>
      </w:pPr>
      <w:r w:rsidRPr="001642C9">
        <w:rPr>
          <w:rFonts w:ascii="Arial" w:eastAsia="Times New Roman" w:hAnsi="Arial" w:cs="Arial"/>
          <w:b/>
          <w:bCs/>
          <w:color w:val="000000"/>
          <w:sz w:val="24"/>
          <w:szCs w:val="24"/>
          <w:u w:val="single"/>
          <w:lang w:eastAsia="es-AR"/>
        </w:rPr>
        <w:t>PLAZO DE ENTREGA</w:t>
      </w:r>
      <w:r w:rsidRPr="001642C9">
        <w:rPr>
          <w:rFonts w:ascii="Arial" w:eastAsia="Times New Roman" w:hAnsi="Arial" w:cs="Arial"/>
          <w:color w:val="000000"/>
          <w:sz w:val="24"/>
          <w:szCs w:val="24"/>
          <w:lang w:eastAsia="es-AR"/>
        </w:rPr>
        <w:t>: Teniendo en cuenta el plazo de cumplimiento estipulado por el Pliego de Condiciones Particulares respecto de la obligación principal inherente al objeto de la contratación (la entrega de los bienes), se calificará con el máximo puntaje previsto (5 puntos) a la oferta que proponga dicho cumplimiento en el menor plazo cierto determinado por el oferente (oferta superadora). Las demás ofertas serán calificadas conforme el criterio de la proporcionalidad.</w:t>
      </w:r>
    </w:p>
    <w:p w14:paraId="230C5953" w14:textId="77777777" w:rsidR="001642C9" w:rsidRPr="001642C9" w:rsidRDefault="001642C9" w:rsidP="001642C9">
      <w:pPr>
        <w:spacing w:after="0" w:line="360" w:lineRule="auto"/>
        <w:jc w:val="both"/>
        <w:textAlignment w:val="baseline"/>
        <w:rPr>
          <w:rFonts w:ascii="Arial" w:eastAsia="Times New Roman" w:hAnsi="Arial" w:cs="Arial"/>
          <w:color w:val="000000"/>
          <w:sz w:val="24"/>
          <w:szCs w:val="24"/>
          <w:lang w:eastAsia="es-AR"/>
        </w:rPr>
      </w:pPr>
    </w:p>
    <w:p w14:paraId="2BCB9819" w14:textId="77777777" w:rsidR="001642C9" w:rsidRPr="001642C9" w:rsidRDefault="001642C9" w:rsidP="001642C9">
      <w:pPr>
        <w:numPr>
          <w:ilvl w:val="0"/>
          <w:numId w:val="1"/>
        </w:numPr>
        <w:spacing w:after="0" w:line="360" w:lineRule="auto"/>
        <w:jc w:val="both"/>
        <w:textAlignment w:val="baseline"/>
        <w:rPr>
          <w:rFonts w:ascii="Arial" w:eastAsia="Times New Roman" w:hAnsi="Arial" w:cs="Arial"/>
          <w:color w:val="000000"/>
          <w:sz w:val="24"/>
          <w:szCs w:val="24"/>
          <w:lang w:eastAsia="es-AR"/>
        </w:rPr>
      </w:pPr>
      <w:r w:rsidRPr="001642C9">
        <w:rPr>
          <w:rFonts w:ascii="Arial" w:eastAsia="Times New Roman" w:hAnsi="Arial" w:cs="Arial"/>
          <w:b/>
          <w:bCs/>
          <w:color w:val="000000"/>
          <w:sz w:val="24"/>
          <w:szCs w:val="24"/>
          <w:u w:val="single"/>
          <w:lang w:eastAsia="es-AR"/>
        </w:rPr>
        <w:t>ACREDITACION ODS s/LEY 9193</w:t>
      </w:r>
      <w:r w:rsidRPr="001642C9">
        <w:rPr>
          <w:rFonts w:ascii="Arial" w:eastAsia="Times New Roman" w:hAnsi="Arial" w:cs="Arial"/>
          <w:color w:val="000000"/>
          <w:sz w:val="24"/>
          <w:szCs w:val="24"/>
          <w:lang w:eastAsia="es-AR"/>
        </w:rPr>
        <w:t xml:space="preserve">: Para la presente licitación, se considera relevante la evaluación del desempeño empresario de los oferentes, a la luz de las metas de los Objetivos de Desarrollo Sostenible del Pacto Global de las Naciones Unidas (ver  </w:t>
      </w:r>
      <w:hyperlink r:id="rId9" w:history="1">
        <w:r w:rsidRPr="001642C9">
          <w:rPr>
            <w:rFonts w:ascii="Arial" w:eastAsia="Times New Roman" w:hAnsi="Arial" w:cs="Arial"/>
            <w:color w:val="000000"/>
            <w:sz w:val="24"/>
            <w:szCs w:val="24"/>
            <w:lang w:eastAsia="es-AR"/>
          </w:rPr>
          <w:t>https://www.un.org/sustainabledevelopment/es/objetivos-de-desarrollo-sostenible/</w:t>
        </w:r>
      </w:hyperlink>
      <w:r w:rsidRPr="001642C9">
        <w:rPr>
          <w:rFonts w:ascii="Arial" w:eastAsia="Times New Roman" w:hAnsi="Arial" w:cs="Arial"/>
          <w:color w:val="000000"/>
          <w:sz w:val="24"/>
          <w:szCs w:val="24"/>
          <w:lang w:eastAsia="es-AR"/>
        </w:rPr>
        <w:t>). En este orden, dentro del máximo previsto (10 puntos), se calificará a los oferentes con el puntaje que les asigne la Dirección General de Contrataciones Públicas y Gestión de Bienes al tiempo de su inscripción o renovación de inscripción o actualización de información en el Registro Único de Proveedores, con anterioridad a la fecha de la publicación del aviso de convocatoria de ofertas. La Comisión de Evaluación verificará el puntaje en cada caso, a través de la información que difunda públicamente en su web institucional la Dirección General de Contrataciones Públicas y Gestión de Bienes (</w:t>
      </w:r>
      <w:hyperlink r:id="rId10" w:history="1">
        <w:r w:rsidRPr="001642C9">
          <w:rPr>
            <w:rFonts w:ascii="Arial" w:eastAsia="Times New Roman" w:hAnsi="Arial" w:cs="Arial"/>
            <w:color w:val="000000"/>
            <w:sz w:val="24"/>
            <w:szCs w:val="24"/>
            <w:lang w:eastAsia="es-AR"/>
          </w:rPr>
          <w:t>https://www.mendoza.gov.ar/compras/compras-publicas-</w:t>
        </w:r>
        <w:r w:rsidRPr="001642C9">
          <w:rPr>
            <w:rFonts w:ascii="Arial" w:eastAsia="Times New Roman" w:hAnsi="Arial" w:cs="Arial"/>
            <w:color w:val="000000"/>
            <w:sz w:val="24"/>
            <w:szCs w:val="24"/>
            <w:lang w:eastAsia="es-AR"/>
          </w:rPr>
          <w:lastRenderedPageBreak/>
          <w:t>sustentables/</w:t>
        </w:r>
      </w:hyperlink>
      <w:r w:rsidRPr="001642C9">
        <w:rPr>
          <w:rFonts w:ascii="Arial" w:eastAsia="Times New Roman" w:hAnsi="Arial" w:cs="Arial"/>
          <w:color w:val="000000"/>
          <w:sz w:val="24"/>
          <w:szCs w:val="24"/>
          <w:lang w:eastAsia="es-AR"/>
        </w:rPr>
        <w:t>). A este efecto, se informan los siguientes ponderadores de calificación del desempeño empresario sustentable, adoptados por la Guía Elemental del Programa de Compras Sustentables de la Administración Provincial (</w:t>
      </w:r>
      <w:hyperlink r:id="rId11" w:history="1">
        <w:r w:rsidRPr="001642C9">
          <w:rPr>
            <w:rFonts w:ascii="Arial" w:eastAsia="Times New Roman" w:hAnsi="Arial" w:cs="Arial"/>
            <w:color w:val="000000"/>
            <w:sz w:val="24"/>
            <w:szCs w:val="24"/>
            <w:lang w:eastAsia="es-AR"/>
          </w:rPr>
          <w:t>https://www.mendoza.gov.ar/compras/compras-publicas-sustentables/</w:t>
        </w:r>
      </w:hyperlink>
      <w:r w:rsidRPr="001642C9">
        <w:rPr>
          <w:rFonts w:ascii="Arial" w:eastAsia="Times New Roman" w:hAnsi="Arial" w:cs="Arial"/>
          <w:color w:val="000000"/>
          <w:sz w:val="24"/>
          <w:szCs w:val="24"/>
          <w:lang w:eastAsia="es-AR"/>
        </w:rPr>
        <w:t>)</w:t>
      </w:r>
    </w:p>
    <w:p w14:paraId="3C96D3D8" w14:textId="77777777" w:rsidR="001642C9" w:rsidRPr="001642C9" w:rsidRDefault="001642C9" w:rsidP="001642C9">
      <w:pPr>
        <w:spacing w:after="0" w:line="360" w:lineRule="auto"/>
        <w:jc w:val="both"/>
        <w:textAlignment w:val="baseline"/>
        <w:rPr>
          <w:rFonts w:ascii="Arial" w:eastAsia="Times New Roman" w:hAnsi="Arial" w:cs="Arial"/>
          <w:color w:val="000000"/>
          <w:sz w:val="24"/>
          <w:szCs w:val="24"/>
          <w:lang w:eastAsia="es-AR"/>
        </w:rPr>
      </w:pPr>
    </w:p>
    <w:p w14:paraId="0149DA5E" w14:textId="77777777" w:rsidR="001642C9" w:rsidRDefault="001642C9" w:rsidP="001642C9">
      <w:pPr>
        <w:numPr>
          <w:ilvl w:val="0"/>
          <w:numId w:val="1"/>
        </w:numPr>
        <w:spacing w:after="0" w:line="360" w:lineRule="auto"/>
        <w:jc w:val="both"/>
        <w:textAlignment w:val="baseline"/>
        <w:rPr>
          <w:rFonts w:ascii="Arial" w:eastAsia="Times New Roman" w:hAnsi="Arial" w:cs="Arial"/>
          <w:color w:val="000000"/>
          <w:sz w:val="24"/>
          <w:szCs w:val="24"/>
          <w:lang w:eastAsia="es-AR"/>
        </w:rPr>
      </w:pPr>
      <w:r w:rsidRPr="009107C4">
        <w:rPr>
          <w:rFonts w:ascii="Arial" w:eastAsia="Times New Roman" w:hAnsi="Arial" w:cs="Arial"/>
          <w:b/>
          <w:bCs/>
          <w:color w:val="000000"/>
          <w:sz w:val="24"/>
          <w:szCs w:val="24"/>
          <w:u w:val="single"/>
          <w:lang w:eastAsia="es-AR"/>
        </w:rPr>
        <w:t>OFERTA ECONÓMICA</w:t>
      </w:r>
      <w:r w:rsidRPr="001642C9">
        <w:rPr>
          <w:rFonts w:ascii="Arial" w:eastAsia="Times New Roman" w:hAnsi="Arial" w:cs="Arial"/>
          <w:b/>
          <w:bCs/>
          <w:color w:val="000000"/>
          <w:sz w:val="24"/>
          <w:szCs w:val="24"/>
          <w:u w:val="single"/>
          <w:lang w:eastAsia="es-AR"/>
        </w:rPr>
        <w:t xml:space="preserve"> - PRECIO</w:t>
      </w:r>
      <w:r w:rsidRPr="001642C9">
        <w:rPr>
          <w:rFonts w:ascii="Arial" w:eastAsia="Times New Roman" w:hAnsi="Arial" w:cs="Arial"/>
          <w:color w:val="000000"/>
          <w:sz w:val="24"/>
          <w:szCs w:val="24"/>
          <w:lang w:eastAsia="es-AR"/>
        </w:rPr>
        <w:t>: Se puntuará con el puntaje máximo (40 puntos) a la oferta que, siendo formal y técnicamente admisible, resulte ser la de menor precio en el respectivo renglón. En caso de presentación de oferta alternativa, la misma será considerada a los efectos de esta evaluación. Las demás ofertas serán puntuadas según la regla de proporcionalidad. Se hace constar que las ofertas que no superen el mínimo de 30 puntos podrán ser desestimadas por inconvenientes, si al mismo tiempo las mismas no han alcanzado como mínimo el 70% del puntaje total previsto en el rubro “CALIDAD”.</w:t>
      </w:r>
    </w:p>
    <w:p w14:paraId="06076468" w14:textId="77777777" w:rsidR="009107C4" w:rsidRDefault="009107C4" w:rsidP="009107C4">
      <w:pPr>
        <w:pStyle w:val="Prrafodelista"/>
        <w:rPr>
          <w:rFonts w:ascii="Arial" w:eastAsia="Times New Roman" w:hAnsi="Arial" w:cs="Arial"/>
          <w:color w:val="000000"/>
          <w:sz w:val="24"/>
          <w:szCs w:val="24"/>
          <w:lang w:eastAsia="es-AR"/>
        </w:rPr>
      </w:pPr>
    </w:p>
    <w:p w14:paraId="740BDC17" w14:textId="4995A619" w:rsidR="009107C4" w:rsidRPr="009107C4" w:rsidRDefault="009107C4" w:rsidP="009107C4">
      <w:pPr>
        <w:spacing w:after="0" w:line="360" w:lineRule="auto"/>
        <w:jc w:val="both"/>
        <w:textAlignment w:val="baseline"/>
        <w:rPr>
          <w:rFonts w:ascii="Arial" w:eastAsia="Times New Roman" w:hAnsi="Arial" w:cs="Arial"/>
          <w:b/>
          <w:color w:val="000000"/>
          <w:sz w:val="24"/>
          <w:szCs w:val="24"/>
          <w:lang w:eastAsia="es-AR"/>
        </w:rPr>
      </w:pPr>
      <w:r w:rsidRPr="009107C4">
        <w:rPr>
          <w:rFonts w:ascii="Arial" w:eastAsia="Times New Roman" w:hAnsi="Arial" w:cs="Arial"/>
          <w:b/>
          <w:color w:val="000000"/>
          <w:sz w:val="24"/>
          <w:szCs w:val="24"/>
          <w:lang w:eastAsia="es-AR"/>
        </w:rPr>
        <w:t>IMPORTANTE: Se recuerda que esta Grilla Modelo -como toda Grilla Modelo- puede ser modificada por el Organismo Contratante, debiendo en tal caso preservarse la razonabilidad de los indicadores y su coherencia con las particularidades del servicio a contratar (por ejemplo, puede preverse mayor rigurosidad o flexibilidad en los indicadores de capacidad económico financiera, en los antecedentes, o bien incluirse otros indicadores como podría ser la evaluación de un Programa de Calidad del Servicio).</w:t>
      </w:r>
      <w:bookmarkStart w:id="0" w:name="_GoBack"/>
      <w:bookmarkEnd w:id="0"/>
    </w:p>
    <w:p w14:paraId="23F9D8DE" w14:textId="77777777" w:rsidR="00793BF7" w:rsidRPr="001642C9" w:rsidRDefault="00793BF7" w:rsidP="001642C9">
      <w:pPr>
        <w:spacing w:after="0" w:line="360" w:lineRule="auto"/>
        <w:jc w:val="both"/>
        <w:rPr>
          <w:rFonts w:ascii="Arial" w:hAnsi="Arial" w:cs="Arial"/>
          <w:sz w:val="24"/>
          <w:szCs w:val="24"/>
        </w:rPr>
      </w:pPr>
    </w:p>
    <w:sectPr w:rsidR="00793BF7" w:rsidRPr="001642C9" w:rsidSect="008A66A8">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E1F08" w14:textId="77777777" w:rsidR="002A1FFC" w:rsidRDefault="002A1FFC" w:rsidP="00B84F81">
      <w:pPr>
        <w:spacing w:after="0" w:line="240" w:lineRule="auto"/>
      </w:pPr>
      <w:r>
        <w:separator/>
      </w:r>
    </w:p>
  </w:endnote>
  <w:endnote w:type="continuationSeparator" w:id="0">
    <w:p w14:paraId="6111A89A" w14:textId="77777777" w:rsidR="002A1FFC" w:rsidRDefault="002A1FFC" w:rsidP="00B84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bCs/>
        <w:sz w:val="16"/>
        <w:szCs w:val="16"/>
      </w:rPr>
      <w:id w:val="898021187"/>
      <w:docPartObj>
        <w:docPartGallery w:val="Page Numbers (Bottom of Page)"/>
        <w:docPartUnique/>
      </w:docPartObj>
    </w:sdtPr>
    <w:sdtEndPr/>
    <w:sdtContent>
      <w:p w14:paraId="59D7B46A" w14:textId="528F9B84" w:rsidR="00B84F81" w:rsidRPr="00B84F81" w:rsidRDefault="00B84F81">
        <w:pPr>
          <w:pStyle w:val="Piedepgina"/>
          <w:jc w:val="center"/>
          <w:rPr>
            <w:b/>
            <w:bCs/>
            <w:sz w:val="16"/>
            <w:szCs w:val="16"/>
          </w:rPr>
        </w:pPr>
        <w:r w:rsidRPr="00B84F81">
          <w:rPr>
            <w:b/>
            <w:bCs/>
            <w:sz w:val="16"/>
            <w:szCs w:val="16"/>
          </w:rPr>
          <w:fldChar w:fldCharType="begin"/>
        </w:r>
        <w:r w:rsidRPr="00B84F81">
          <w:rPr>
            <w:b/>
            <w:bCs/>
            <w:sz w:val="16"/>
            <w:szCs w:val="16"/>
          </w:rPr>
          <w:instrText>PAGE   \* MERGEFORMAT</w:instrText>
        </w:r>
        <w:r w:rsidRPr="00B84F81">
          <w:rPr>
            <w:b/>
            <w:bCs/>
            <w:sz w:val="16"/>
            <w:szCs w:val="16"/>
          </w:rPr>
          <w:fldChar w:fldCharType="separate"/>
        </w:r>
        <w:r w:rsidR="009107C4" w:rsidRPr="009107C4">
          <w:rPr>
            <w:b/>
            <w:bCs/>
            <w:noProof/>
            <w:sz w:val="16"/>
            <w:szCs w:val="16"/>
            <w:lang w:val="es-ES"/>
          </w:rPr>
          <w:t>5</w:t>
        </w:r>
        <w:r w:rsidRPr="00B84F81">
          <w:rPr>
            <w:b/>
            <w:bCs/>
            <w:sz w:val="16"/>
            <w:szCs w:val="16"/>
          </w:rPr>
          <w:fldChar w:fldCharType="end"/>
        </w:r>
      </w:p>
    </w:sdtContent>
  </w:sdt>
  <w:p w14:paraId="158E997B" w14:textId="77777777" w:rsidR="00B84F81" w:rsidRPr="00B84F81" w:rsidRDefault="00B84F81">
    <w:pPr>
      <w:pStyle w:val="Piedepgina"/>
      <w:rPr>
        <w:b/>
        <w:bC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87B99" w14:textId="77777777" w:rsidR="002A1FFC" w:rsidRDefault="002A1FFC" w:rsidP="00B84F81">
      <w:pPr>
        <w:spacing w:after="0" w:line="240" w:lineRule="auto"/>
      </w:pPr>
      <w:r>
        <w:separator/>
      </w:r>
    </w:p>
  </w:footnote>
  <w:footnote w:type="continuationSeparator" w:id="0">
    <w:p w14:paraId="372EBCB5" w14:textId="77777777" w:rsidR="002A1FFC" w:rsidRDefault="002A1FFC" w:rsidP="00B84F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150BE0"/>
    <w:multiLevelType w:val="multilevel"/>
    <w:tmpl w:val="8404FF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0656DA"/>
    <w:multiLevelType w:val="hybridMultilevel"/>
    <w:tmpl w:val="5F468918"/>
    <w:lvl w:ilvl="0" w:tplc="73AE5FA4">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63130909"/>
    <w:multiLevelType w:val="hybridMultilevel"/>
    <w:tmpl w:val="9B4AE39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lvlOverride w:ilvl="0">
      <w:lvl w:ilvl="0">
        <w:numFmt w:val="decimal"/>
        <w:lvlText w:val="%1."/>
        <w:lvlJc w:val="left"/>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2C9"/>
    <w:rsid w:val="001642C9"/>
    <w:rsid w:val="001756C1"/>
    <w:rsid w:val="002A1FFC"/>
    <w:rsid w:val="007524BC"/>
    <w:rsid w:val="00793BF7"/>
    <w:rsid w:val="008A66A8"/>
    <w:rsid w:val="009107C4"/>
    <w:rsid w:val="00B84F8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BF446"/>
  <w15:chartTrackingRefBased/>
  <w15:docId w15:val="{1BD4F7D9-2420-4F8C-827F-ACD09690C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2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642C9"/>
    <w:pPr>
      <w:ind w:left="720"/>
      <w:contextualSpacing/>
    </w:pPr>
    <w:rPr>
      <w:kern w:val="2"/>
    </w:rPr>
  </w:style>
  <w:style w:type="paragraph" w:styleId="Encabezado">
    <w:name w:val="header"/>
    <w:basedOn w:val="Normal"/>
    <w:link w:val="EncabezadoCar"/>
    <w:uiPriority w:val="99"/>
    <w:unhideWhenUsed/>
    <w:rsid w:val="00B84F8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84F81"/>
  </w:style>
  <w:style w:type="paragraph" w:styleId="Piedepgina">
    <w:name w:val="footer"/>
    <w:basedOn w:val="Normal"/>
    <w:link w:val="PiedepginaCar"/>
    <w:uiPriority w:val="99"/>
    <w:unhideWhenUsed/>
    <w:rsid w:val="00B84F8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4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ndoza.gov.ar/compras/compras-publicas-sustentables/" TargetMode="External"/><Relationship Id="rId5" Type="http://schemas.openxmlformats.org/officeDocument/2006/relationships/webSettings" Target="webSettings.xml"/><Relationship Id="rId10" Type="http://schemas.openxmlformats.org/officeDocument/2006/relationships/hyperlink" Target="https://www.mendoza.gov.ar/compras/compras-publicas-sustentables/" TargetMode="External"/><Relationship Id="rId4" Type="http://schemas.openxmlformats.org/officeDocument/2006/relationships/settings" Target="settings.xml"/><Relationship Id="rId9" Type="http://schemas.openxmlformats.org/officeDocument/2006/relationships/hyperlink" Target="https://www.un.org/sustainabledevelopment/es/objetivos-de-desarrollo-sostenible/"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18497-3311-44F5-8C71-504504692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1322</Words>
  <Characters>7275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Roberto Cabaña</cp:lastModifiedBy>
  <cp:revision>2</cp:revision>
  <dcterms:created xsi:type="dcterms:W3CDTF">2024-10-31T18:14:00Z</dcterms:created>
  <dcterms:modified xsi:type="dcterms:W3CDTF">2024-10-31T18:14:00Z</dcterms:modified>
</cp:coreProperties>
</file>