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30DD2" w14:textId="053A72A2" w:rsidR="003A470C" w:rsidRPr="000E7196" w:rsidRDefault="001642C9" w:rsidP="000E7196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bookmarkStart w:id="0" w:name="_GoBack"/>
      <w:bookmarkEnd w:id="0"/>
      <w:r w:rsidRPr="000E7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GRILLA DE EVALUACIÓN </w:t>
      </w:r>
      <w:r w:rsidR="00BC48C4" w:rsidRPr="000E7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–</w:t>
      </w:r>
      <w:r w:rsidRPr="000E7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</w:t>
      </w:r>
      <w:r w:rsidR="000E7196" w:rsidRPr="000E7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ALQUILER EQUIPO ELECTROFORESIS CAPILAR CON PROVISIÓN DE REACTIVOS</w:t>
      </w:r>
    </w:p>
    <w:p w14:paraId="6ADAB398" w14:textId="02F147DF" w:rsidR="001642C9" w:rsidRDefault="001642C9" w:rsidP="000E719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</w:p>
    <w:tbl>
      <w:tblPr>
        <w:tblW w:w="6180" w:type="dxa"/>
        <w:jc w:val="center"/>
        <w:tblLook w:val="04A0" w:firstRow="1" w:lastRow="0" w:firstColumn="1" w:lastColumn="0" w:noHBand="0" w:noVBand="1"/>
      </w:tblPr>
      <w:tblGrid>
        <w:gridCol w:w="483"/>
        <w:gridCol w:w="4960"/>
        <w:gridCol w:w="1337"/>
      </w:tblGrid>
      <w:tr w:rsidR="000E7196" w:rsidRPr="000E7196" w14:paraId="702DB1A2" w14:textId="77777777" w:rsidTr="00C470E5">
        <w:trPr>
          <w:trHeight w:val="315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4FB4A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#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93082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CRITERIO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6B0E8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PUNTAJE</w:t>
            </w:r>
          </w:p>
        </w:tc>
      </w:tr>
      <w:tr w:rsidR="000E7196" w:rsidRPr="000E7196" w14:paraId="7C754E00" w14:textId="77777777" w:rsidTr="00C470E5">
        <w:trPr>
          <w:trHeight w:val="31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48FB6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F655" w14:textId="77777777" w:rsidR="000E7196" w:rsidRPr="000E7196" w:rsidRDefault="000E7196" w:rsidP="000E7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E71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Antecedentes</w:t>
            </w:r>
            <w:proofErr w:type="spellEnd"/>
            <w:r w:rsidRPr="000E71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 del </w:t>
            </w:r>
            <w:proofErr w:type="spellStart"/>
            <w:r w:rsidRPr="000E71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Proveedor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0414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0E7196" w:rsidRPr="000E7196" w14:paraId="53150AF3" w14:textId="77777777" w:rsidTr="00C470E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E54EE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FCE9" w14:textId="77777777" w:rsidR="000E7196" w:rsidRPr="000E7196" w:rsidRDefault="000E7196" w:rsidP="000E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Contractuales (5)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574D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E7196" w:rsidRPr="000E7196" w14:paraId="5AC65049" w14:textId="77777777" w:rsidTr="00C470E5">
        <w:trPr>
          <w:trHeight w:val="31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1EE48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307A" w14:textId="77777777" w:rsidR="000E7196" w:rsidRPr="000E7196" w:rsidRDefault="000E7196" w:rsidP="000E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Comerciales (5)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7683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E7196" w:rsidRPr="000E7196" w14:paraId="1657F07D" w14:textId="77777777" w:rsidTr="00C470E5">
        <w:trPr>
          <w:trHeight w:val="315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2F26A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8394" w14:textId="77777777" w:rsidR="000E7196" w:rsidRPr="000E7196" w:rsidRDefault="000E7196" w:rsidP="000E7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E71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Calidad</w:t>
            </w:r>
            <w:proofErr w:type="spellEnd"/>
            <w:r w:rsidRPr="000E71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del </w:t>
            </w:r>
            <w:proofErr w:type="spellStart"/>
            <w:r w:rsidRPr="000E71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servicio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B202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0E7196" w:rsidRPr="000E7196" w14:paraId="2D364F45" w14:textId="77777777" w:rsidTr="00C470E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1A541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9125" w14:textId="77777777" w:rsidR="000E7196" w:rsidRPr="000E7196" w:rsidRDefault="000E7196" w:rsidP="000E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Espectro de análisis (disponibilidad de programas y kits) (5)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0CD0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> </w:t>
            </w:r>
          </w:p>
        </w:tc>
      </w:tr>
      <w:tr w:rsidR="000E7196" w:rsidRPr="000E7196" w14:paraId="2F3EADA4" w14:textId="77777777" w:rsidTr="00C470E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BDD64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F834" w14:textId="77777777" w:rsidR="000E7196" w:rsidRPr="000E7196" w:rsidRDefault="000E7196" w:rsidP="000E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Velocidad de muestras por hora (3)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C98B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> </w:t>
            </w:r>
          </w:p>
        </w:tc>
      </w:tr>
      <w:tr w:rsidR="000E7196" w:rsidRPr="000E7196" w14:paraId="1AAC61DE" w14:textId="77777777" w:rsidTr="00C470E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845BF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69B4" w14:textId="77777777" w:rsidR="000E7196" w:rsidRPr="000E7196" w:rsidRDefault="000E7196" w:rsidP="000E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Alarma de valores patológicos (3)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1CDF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E7196" w:rsidRPr="000E7196" w14:paraId="131BE4E1" w14:textId="77777777" w:rsidTr="00C470E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346BB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5FE7" w14:textId="77777777" w:rsidR="000E7196" w:rsidRPr="000E7196" w:rsidRDefault="000E7196" w:rsidP="000E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Capacidad de “</w:t>
            </w:r>
            <w:proofErr w:type="spellStart"/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autosampler</w:t>
            </w:r>
            <w:proofErr w:type="spellEnd"/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 (5)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174E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E7196" w:rsidRPr="000E7196" w14:paraId="4CEC25F6" w14:textId="77777777" w:rsidTr="00C470E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8418A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e.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0EA5" w14:textId="77777777" w:rsidR="000E7196" w:rsidRPr="000E7196" w:rsidRDefault="000E7196" w:rsidP="000E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Cambiador Automático de Capilares (2)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9CAA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E7196" w:rsidRPr="000E7196" w14:paraId="3D7196BD" w14:textId="77777777" w:rsidTr="00C470E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9201E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D8E5" w14:textId="77777777" w:rsidR="000E7196" w:rsidRPr="000E7196" w:rsidRDefault="000E7196" w:rsidP="000E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Preparación Automática de Muestras (2)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934C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E7196" w:rsidRPr="000E7196" w14:paraId="562BE10F" w14:textId="77777777" w:rsidTr="00C470E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0991E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g.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E02E" w14:textId="77777777" w:rsidR="000E7196" w:rsidRPr="000E7196" w:rsidRDefault="000E7196" w:rsidP="000E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Sistema de Inyección Automática de Muestras (3)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F4BD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> </w:t>
            </w:r>
          </w:p>
        </w:tc>
      </w:tr>
      <w:tr w:rsidR="000E7196" w:rsidRPr="000E7196" w14:paraId="23DCB37D" w14:textId="77777777" w:rsidTr="00C470E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5D397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h.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2B37" w14:textId="77777777" w:rsidR="000E7196" w:rsidRPr="000E7196" w:rsidRDefault="000E7196" w:rsidP="000E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Software con Programación </w:t>
            </w:r>
            <w:proofErr w:type="spellStart"/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Multimétodo</w:t>
            </w:r>
            <w:proofErr w:type="spellEnd"/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(3)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8B0F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E7196" w:rsidRPr="000E7196" w14:paraId="339C6C77" w14:textId="77777777" w:rsidTr="00C470E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E91C2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A707" w14:textId="77777777" w:rsidR="000E7196" w:rsidRPr="000E7196" w:rsidRDefault="000E7196" w:rsidP="000E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Software con reportes calificados (3)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926E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E7196" w:rsidRPr="000E7196" w14:paraId="25D82D6C" w14:textId="77777777" w:rsidTr="00C470E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9D74B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j.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055B" w14:textId="77777777" w:rsidR="000E7196" w:rsidRPr="000E7196" w:rsidRDefault="000E7196" w:rsidP="000E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Software con Programación </w:t>
            </w:r>
            <w:proofErr w:type="spellStart"/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Multimétodo</w:t>
            </w:r>
            <w:proofErr w:type="spellEnd"/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(2)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34DF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E7196" w:rsidRPr="000E7196" w14:paraId="0AD66FEE" w14:textId="77777777" w:rsidTr="00C470E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35CFA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k.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CD5F" w14:textId="77777777" w:rsidR="000E7196" w:rsidRPr="000E7196" w:rsidRDefault="000E7196" w:rsidP="000E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Conectividad con Sistemas de Información del Laboratorio (3)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7461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> </w:t>
            </w:r>
          </w:p>
        </w:tc>
      </w:tr>
      <w:tr w:rsidR="000E7196" w:rsidRPr="000E7196" w14:paraId="162DAD02" w14:textId="77777777" w:rsidTr="00C470E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0A3E6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l.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8F5D" w14:textId="77777777" w:rsidR="000E7196" w:rsidRPr="000E7196" w:rsidRDefault="000E7196" w:rsidP="000E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Cambio Automático de Condiciones de Carrera (2)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B055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> </w:t>
            </w:r>
          </w:p>
        </w:tc>
      </w:tr>
      <w:tr w:rsidR="000E7196" w:rsidRPr="000E7196" w14:paraId="415F989F" w14:textId="77777777" w:rsidTr="00C470E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2F094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4937" w14:textId="77777777" w:rsidR="000E7196" w:rsidRPr="000E7196" w:rsidRDefault="000E7196" w:rsidP="000E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Limpieza y Reacondicionamiento Automático del Capilar (2)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88BC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> </w:t>
            </w:r>
          </w:p>
        </w:tc>
      </w:tr>
      <w:tr w:rsidR="000E7196" w:rsidRPr="000E7196" w14:paraId="3742F0E6" w14:textId="77777777" w:rsidTr="00C470E5">
        <w:trPr>
          <w:trHeight w:val="31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EDD36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251A" w14:textId="77777777" w:rsidR="000E7196" w:rsidRPr="000E7196" w:rsidRDefault="000E7196" w:rsidP="000E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Detección de Bloqueos o Fugas (2)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3109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0E7196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> </w:t>
            </w:r>
          </w:p>
        </w:tc>
      </w:tr>
      <w:tr w:rsidR="000E7196" w:rsidRPr="000E7196" w14:paraId="2307E1A7" w14:textId="77777777" w:rsidTr="00C470E5">
        <w:trPr>
          <w:trHeight w:val="315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07E19" w14:textId="541B7F98" w:rsidR="000E7196" w:rsidRPr="000E7196" w:rsidRDefault="00A175E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570D" w14:textId="77777777" w:rsidR="000E7196" w:rsidRPr="000E7196" w:rsidRDefault="000E7196" w:rsidP="000E7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E71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Acreditación</w:t>
            </w:r>
            <w:proofErr w:type="spellEnd"/>
            <w:r w:rsidRPr="000E71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ODS s/ Ley 9193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282FD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0E7196" w:rsidRPr="000E7196" w14:paraId="53574B76" w14:textId="77777777" w:rsidTr="00A175E6">
        <w:trPr>
          <w:trHeight w:val="31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890EC" w14:textId="61739108" w:rsidR="000E7196" w:rsidRPr="000E7196" w:rsidRDefault="00A175E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6BA0" w14:textId="77777777" w:rsidR="000E7196" w:rsidRPr="000E7196" w:rsidRDefault="000E7196" w:rsidP="000E7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E71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Oferta</w:t>
            </w:r>
            <w:proofErr w:type="spellEnd"/>
            <w:r w:rsidRPr="000E71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1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Económica</w:t>
            </w:r>
            <w:proofErr w:type="spell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9B451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0E7196" w:rsidRPr="000E7196" w14:paraId="562C16EC" w14:textId="77777777" w:rsidTr="00A175E6">
        <w:trPr>
          <w:trHeight w:val="315"/>
          <w:jc w:val="center"/>
        </w:trPr>
        <w:tc>
          <w:tcPr>
            <w:tcW w:w="5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C502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0C115" w14:textId="77777777" w:rsidR="000E7196" w:rsidRPr="000E7196" w:rsidRDefault="000E7196" w:rsidP="000E7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E71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</w:tbl>
    <w:p w14:paraId="7D5EF1E0" w14:textId="77777777" w:rsidR="000E7196" w:rsidRPr="000E7196" w:rsidRDefault="000E7196" w:rsidP="000E719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</w:p>
    <w:p w14:paraId="19D2B360" w14:textId="6A5B9DC4" w:rsidR="009638D3" w:rsidRPr="000E7196" w:rsidRDefault="009638D3" w:rsidP="000E7196">
      <w:pPr>
        <w:pStyle w:val="Prrafodelista"/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E719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  <w:t>ANTECEDENTES</w:t>
      </w:r>
      <w:r w:rsidRPr="000E719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AR"/>
        </w:rPr>
        <w:t xml:space="preserve"> </w:t>
      </w:r>
      <w:r w:rsidR="00A175E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AR"/>
        </w:rPr>
        <w:t>DEL PROVEEDOR</w:t>
      </w:r>
      <w:r w:rsidRPr="000E719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</w:t>
      </w:r>
    </w:p>
    <w:p w14:paraId="64E5728B" w14:textId="77777777" w:rsidR="00D802BE" w:rsidRDefault="00A175E6" w:rsidP="00B026A1">
      <w:pPr>
        <w:pStyle w:val="Prrafodelista"/>
        <w:numPr>
          <w:ilvl w:val="0"/>
          <w:numId w:val="10"/>
        </w:numPr>
        <w:spacing w:after="0" w:line="360" w:lineRule="auto"/>
        <w:ind w:left="283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D802BE">
        <w:rPr>
          <w:rFonts w:ascii="Arial" w:eastAsia="Times New Roman" w:hAnsi="Arial" w:cs="Arial"/>
          <w:b/>
          <w:color w:val="000000"/>
          <w:sz w:val="24"/>
          <w:szCs w:val="24"/>
          <w:lang w:eastAsia="es-AR"/>
        </w:rPr>
        <w:t>Antecedentes contractuales</w:t>
      </w:r>
      <w:r w:rsidRPr="00D802B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 s</w:t>
      </w:r>
      <w:r w:rsidR="007963E1" w:rsidRPr="00D802B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 otorgará el máximo puntaje (</w:t>
      </w:r>
      <w:r w:rsidRPr="00D802B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5</w:t>
      </w:r>
      <w:r w:rsidR="007963E1" w:rsidRPr="00D802B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) a los oferentes que no tengan registradas penalidades o sanciones en el Registro Único de Proveedores de Mendoza en los dos años previos a la fecha de apertura de ofertas. </w:t>
      </w:r>
      <w:r w:rsidR="009638D3" w:rsidRPr="00D802B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En caso de oferentes que no posean en el Registro Único de Proveedores una inscripción vigente en dicho período, también serán calificados con el máximo puntaje (</w:t>
      </w:r>
      <w:r w:rsidRPr="00D802B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5</w:t>
      </w:r>
      <w:r w:rsidR="009638D3" w:rsidRPr="00D802B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). </w:t>
      </w:r>
    </w:p>
    <w:p w14:paraId="5F3D7905" w14:textId="77777777" w:rsidR="00D802BE" w:rsidRDefault="007963E1" w:rsidP="00D802BE">
      <w:pPr>
        <w:pStyle w:val="Prrafodelista"/>
        <w:spacing w:after="0" w:line="360" w:lineRule="auto"/>
        <w:ind w:left="2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D802B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A los oferentes con </w:t>
      </w:r>
      <w:r w:rsidRPr="00D802B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sanciones de apercibimiento</w:t>
      </w:r>
      <w:r w:rsidRPr="00D802B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registradas en los últimos dos años en el Registro Único de Proveedores de Mendoza, o en registros equivalentes de jurisdicciones nacionales, provinciales o municipales, se les asignará </w:t>
      </w:r>
      <w:r w:rsidR="00A175E6" w:rsidRPr="00D802B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2</w:t>
      </w:r>
      <w:r w:rsidRPr="00D802B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puntos</w:t>
      </w:r>
      <w:r w:rsidRPr="00D802B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</w:t>
      </w:r>
      <w:r w:rsidRPr="00D802BE">
        <w:rPr>
          <w:rFonts w:ascii="Arial" w:eastAsia="Times New Roman" w:hAnsi="Arial" w:cs="Arial"/>
          <w:color w:val="000000"/>
          <w:sz w:val="24"/>
          <w:szCs w:val="24"/>
          <w:lang w:eastAsia="es-AR"/>
        </w:rPr>
        <w:lastRenderedPageBreak/>
        <w:t>Este mismo puntaje se aplicará a aquellos que, sin sanciones formales, posean antecedentes documentados de prestación de servicio “no satisfactoria”.</w:t>
      </w:r>
    </w:p>
    <w:p w14:paraId="54E17739" w14:textId="77777777" w:rsidR="00D802BE" w:rsidRDefault="007963E1" w:rsidP="00D802BE">
      <w:pPr>
        <w:pStyle w:val="Prrafodelista"/>
        <w:spacing w:after="0" w:line="360" w:lineRule="auto"/>
        <w:ind w:left="2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D802B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Se calificará con </w:t>
      </w:r>
      <w:r w:rsidRPr="00D802B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0 puntos</w:t>
      </w:r>
      <w:r w:rsidRPr="00D802B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a los oferentes que hayan recibido sanciones de </w:t>
      </w:r>
      <w:r w:rsidRPr="00D802B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suspensión o baja por incumplimientos contractuales</w:t>
      </w:r>
      <w:r w:rsidRPr="00D802B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en el Registro Único de Proveedores de Mendoza, o en registros de otras jurisdicciones nacionales, provinciales o municipales, en los últimos dos años anteriores a la fecha de apertura.</w:t>
      </w:r>
    </w:p>
    <w:p w14:paraId="1898B272" w14:textId="71F353C3" w:rsidR="009638D3" w:rsidRPr="000E7196" w:rsidRDefault="007963E1" w:rsidP="00D802BE">
      <w:pPr>
        <w:pStyle w:val="Prrafodelista"/>
        <w:spacing w:after="0" w:line="360" w:lineRule="auto"/>
        <w:ind w:left="2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E719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Para esta evaluación se considerará la información publicada por el Registro Único de Proveedores Provincial y demás organismos que gestionen estos datos a nivel nacional, provincial o municipal</w:t>
      </w:r>
      <w:r w:rsidR="000C0308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p w14:paraId="386118CF" w14:textId="1EE16345" w:rsidR="007963E1" w:rsidRDefault="00A175E6" w:rsidP="00A175E6">
      <w:pPr>
        <w:pStyle w:val="Prrafodelista"/>
        <w:numPr>
          <w:ilvl w:val="0"/>
          <w:numId w:val="10"/>
        </w:num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Antecedentes </w:t>
      </w:r>
      <w:r w:rsidRPr="00A175E6">
        <w:rPr>
          <w:rFonts w:ascii="Arial" w:eastAsia="Times New Roman" w:hAnsi="Arial" w:cs="Arial"/>
          <w:b/>
          <w:sz w:val="24"/>
          <w:szCs w:val="24"/>
          <w:lang w:eastAsia="es-AR"/>
        </w:rPr>
        <w:t>Comerciales</w:t>
      </w:r>
      <w:r w:rsidRPr="00A175E6">
        <w:rPr>
          <w:rFonts w:ascii="Arial" w:eastAsia="Times New Roman" w:hAnsi="Arial" w:cs="Arial"/>
          <w:sz w:val="24"/>
          <w:szCs w:val="24"/>
          <w:lang w:eastAsia="es-AR"/>
        </w:rPr>
        <w:t xml:space="preserve">: Se otorgará el máximo puntaje (5 puntos) previsto a las/los oferentes que acrediten poseer el mayor número de certificados de comitentes o contratantes, a quienes se les haya prestado </w:t>
      </w:r>
      <w:r w:rsidR="00D802BE">
        <w:rPr>
          <w:rFonts w:ascii="Arial" w:eastAsia="Times New Roman" w:hAnsi="Arial" w:cs="Arial"/>
          <w:sz w:val="24"/>
          <w:szCs w:val="24"/>
          <w:lang w:eastAsia="es-AR"/>
        </w:rPr>
        <w:t>el</w:t>
      </w:r>
      <w:r w:rsidRPr="00A175E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D802BE">
        <w:rPr>
          <w:rFonts w:ascii="Arial" w:eastAsia="Times New Roman" w:hAnsi="Arial" w:cs="Arial"/>
          <w:sz w:val="24"/>
          <w:szCs w:val="24"/>
          <w:lang w:eastAsia="es-AR"/>
        </w:rPr>
        <w:t>servicio objeto de la presente contratación</w:t>
      </w:r>
      <w:r w:rsidRPr="00A175E6">
        <w:rPr>
          <w:rFonts w:ascii="Arial" w:eastAsia="Times New Roman" w:hAnsi="Arial" w:cs="Arial"/>
          <w:sz w:val="24"/>
          <w:szCs w:val="24"/>
          <w:lang w:eastAsia="es-AR"/>
        </w:rPr>
        <w:t xml:space="preserve"> durante los últimos </w:t>
      </w:r>
      <w:r w:rsidR="00D802BE">
        <w:rPr>
          <w:rFonts w:ascii="Arial" w:eastAsia="Times New Roman" w:hAnsi="Arial" w:cs="Arial"/>
          <w:sz w:val="24"/>
          <w:szCs w:val="24"/>
          <w:lang w:eastAsia="es-AR"/>
        </w:rPr>
        <w:t>tres</w:t>
      </w:r>
      <w:r w:rsidRPr="00A175E6">
        <w:rPr>
          <w:rFonts w:ascii="Arial" w:eastAsia="Times New Roman" w:hAnsi="Arial" w:cs="Arial"/>
          <w:sz w:val="24"/>
          <w:szCs w:val="24"/>
          <w:lang w:eastAsia="es-AR"/>
        </w:rPr>
        <w:t xml:space="preserve"> años previos a la fecha de la convocatoria. </w:t>
      </w:r>
      <w:r w:rsidR="00D802BE" w:rsidRPr="00A175E6">
        <w:rPr>
          <w:rFonts w:ascii="Arial" w:hAnsi="Arial" w:cs="Arial"/>
          <w:sz w:val="24"/>
          <w:szCs w:val="24"/>
        </w:rPr>
        <w:t>Las demás ofertas serán calificadas conforme el criterio de proporcionalidad</w:t>
      </w:r>
      <w:r w:rsidRPr="00A175E6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14:paraId="1EAC9C8C" w14:textId="77777777" w:rsidR="00D802BE" w:rsidRPr="00A175E6" w:rsidRDefault="00D802BE" w:rsidP="00D802BE">
      <w:pPr>
        <w:pStyle w:val="Prrafodelista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6BF9897F" w14:textId="3CA6731A" w:rsidR="0093765C" w:rsidRPr="000E7196" w:rsidRDefault="0093765C" w:rsidP="000E7196">
      <w:pPr>
        <w:pStyle w:val="Prrafodelista"/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AR"/>
        </w:rPr>
      </w:pPr>
      <w:r w:rsidRPr="000E719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  <w:t>CALIDAD DEL SERVICIO</w:t>
      </w:r>
      <w:r w:rsidR="007963E1" w:rsidRPr="000E719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</w:t>
      </w:r>
    </w:p>
    <w:p w14:paraId="23533209" w14:textId="23A49BDB" w:rsidR="00C66D3E" w:rsidRDefault="00B64B43" w:rsidP="000E7196">
      <w:pPr>
        <w:pStyle w:val="Prrafodelista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B64B4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La calidad del servicio será evaluada </w:t>
      </w:r>
      <w:r w:rsidR="000C0308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 través</w:t>
      </w:r>
      <w:r w:rsidRPr="00B64B4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0C0308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</w:t>
      </w:r>
      <w:r w:rsidRPr="00B64B4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el desempeño del equipamiento en relación con los siguientes indicadores, conforme a los criterios y p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autas establecidos para cada caso:</w:t>
      </w:r>
    </w:p>
    <w:p w14:paraId="1918DD05" w14:textId="77777777" w:rsidR="00A175E6" w:rsidRDefault="00A175E6" w:rsidP="00A175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78B5E93" w14:textId="4C73FF60" w:rsidR="000E7196" w:rsidRPr="00A175E6" w:rsidRDefault="000E7196" w:rsidP="00A175E6">
      <w:pPr>
        <w:pStyle w:val="Prrafodelista"/>
        <w:numPr>
          <w:ilvl w:val="0"/>
          <w:numId w:val="11"/>
        </w:numPr>
        <w:spacing w:after="0" w:line="36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A175E6">
        <w:rPr>
          <w:rFonts w:ascii="Arial" w:hAnsi="Arial" w:cs="Arial"/>
          <w:b/>
          <w:sz w:val="24"/>
          <w:szCs w:val="24"/>
        </w:rPr>
        <w:t>Espectro de análisis (disponibilidad de programas y kits):</w:t>
      </w:r>
      <w:r w:rsidRPr="00A175E6">
        <w:rPr>
          <w:rFonts w:ascii="Arial" w:hAnsi="Arial" w:cs="Arial"/>
          <w:sz w:val="24"/>
          <w:szCs w:val="24"/>
        </w:rPr>
        <w:t xml:space="preserve"> se asignará el máximo puntaje previsto (5 puntos) a la oferta que proponga el equipo con mayor espectro de análisis, medidos según la disponibilidad de programas y kits gestionables. Las demás ofertas serán calificadas conforme el criterio de proporcionalidad</w:t>
      </w:r>
    </w:p>
    <w:p w14:paraId="68B82CA1" w14:textId="77777777" w:rsidR="000E7196" w:rsidRPr="000E7196" w:rsidRDefault="000E7196" w:rsidP="00A175E6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7C9506A9" w14:textId="77777777" w:rsidR="000E7196" w:rsidRPr="00A175E6" w:rsidRDefault="000E7196" w:rsidP="00A175E6">
      <w:pPr>
        <w:pStyle w:val="Prrafodelista"/>
        <w:numPr>
          <w:ilvl w:val="0"/>
          <w:numId w:val="11"/>
        </w:numPr>
        <w:spacing w:after="0" w:line="36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A175E6">
        <w:rPr>
          <w:rFonts w:ascii="Arial" w:hAnsi="Arial" w:cs="Arial"/>
          <w:b/>
          <w:sz w:val="24"/>
          <w:szCs w:val="24"/>
        </w:rPr>
        <w:t>Velocidad de muestras por hora</w:t>
      </w:r>
      <w:r w:rsidRPr="00A175E6">
        <w:rPr>
          <w:rFonts w:ascii="Arial" w:hAnsi="Arial" w:cs="Arial"/>
          <w:sz w:val="24"/>
          <w:szCs w:val="24"/>
        </w:rPr>
        <w:t>: se asignará el máximo puntaje previsto (3 puntos) a la oferta que proponga el equipo con la mayor velocidad de muestras por hora. Las demás ofertas serán calificadas conforme el criterio de proporcionalidad</w:t>
      </w:r>
    </w:p>
    <w:p w14:paraId="7C2D69FE" w14:textId="77777777" w:rsidR="000E7196" w:rsidRPr="000E7196" w:rsidRDefault="000E7196" w:rsidP="00A175E6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754824FD" w14:textId="77777777" w:rsidR="000E7196" w:rsidRPr="00A175E6" w:rsidRDefault="000E7196" w:rsidP="00A175E6">
      <w:pPr>
        <w:pStyle w:val="Prrafodelista"/>
        <w:numPr>
          <w:ilvl w:val="0"/>
          <w:numId w:val="11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175E6">
        <w:rPr>
          <w:rFonts w:ascii="Arial" w:hAnsi="Arial" w:cs="Arial"/>
          <w:b/>
          <w:sz w:val="24"/>
          <w:szCs w:val="24"/>
        </w:rPr>
        <w:lastRenderedPageBreak/>
        <w:t>Alarma de valores patológicos:</w:t>
      </w:r>
      <w:r w:rsidRPr="00A175E6">
        <w:rPr>
          <w:rFonts w:ascii="Arial" w:hAnsi="Arial" w:cs="Arial"/>
          <w:sz w:val="24"/>
          <w:szCs w:val="24"/>
        </w:rPr>
        <w:t xml:space="preserve"> se asignará el puntaje previsto (3 puntos) a la propuesta que oferte un equipo que disponga de “alarma de valores patológicos”. Las demás que no dispongan esta tecnología serán calificadas sin puntajes</w:t>
      </w:r>
    </w:p>
    <w:p w14:paraId="6BBFF784" w14:textId="77777777" w:rsidR="000E7196" w:rsidRPr="000E7196" w:rsidRDefault="000E7196" w:rsidP="00A175E6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E877BAA" w14:textId="58B1F97C" w:rsidR="000E7196" w:rsidRDefault="000E7196" w:rsidP="00A175E6">
      <w:pPr>
        <w:pStyle w:val="Prrafodelista"/>
        <w:numPr>
          <w:ilvl w:val="0"/>
          <w:numId w:val="11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175E6">
        <w:rPr>
          <w:rFonts w:ascii="Arial" w:hAnsi="Arial" w:cs="Arial"/>
          <w:b/>
          <w:sz w:val="24"/>
          <w:szCs w:val="24"/>
        </w:rPr>
        <w:t>Capacidad de “</w:t>
      </w:r>
      <w:proofErr w:type="spellStart"/>
      <w:r w:rsidRPr="00A175E6">
        <w:rPr>
          <w:rFonts w:ascii="Arial" w:hAnsi="Arial" w:cs="Arial"/>
          <w:b/>
          <w:sz w:val="24"/>
          <w:szCs w:val="24"/>
        </w:rPr>
        <w:t>autosampler</w:t>
      </w:r>
      <w:proofErr w:type="spellEnd"/>
      <w:r w:rsidRPr="00A175E6">
        <w:rPr>
          <w:rFonts w:ascii="Arial" w:hAnsi="Arial" w:cs="Arial"/>
          <w:b/>
          <w:sz w:val="24"/>
          <w:szCs w:val="24"/>
        </w:rPr>
        <w:t>”:</w:t>
      </w:r>
      <w:r w:rsidRPr="00A175E6">
        <w:rPr>
          <w:rFonts w:ascii="Arial" w:hAnsi="Arial" w:cs="Arial"/>
          <w:sz w:val="24"/>
          <w:szCs w:val="24"/>
        </w:rPr>
        <w:t xml:space="preserve"> se asignará el máximo puntaje previsto (5 puntos) a la oferta que proponga el equipo con la mayor capacidad de “</w:t>
      </w:r>
      <w:proofErr w:type="spellStart"/>
      <w:r w:rsidRPr="00A175E6">
        <w:rPr>
          <w:rFonts w:ascii="Arial" w:hAnsi="Arial" w:cs="Arial"/>
          <w:sz w:val="24"/>
          <w:szCs w:val="24"/>
        </w:rPr>
        <w:t>autosampler</w:t>
      </w:r>
      <w:proofErr w:type="spellEnd"/>
      <w:r w:rsidRPr="00A175E6">
        <w:rPr>
          <w:rFonts w:ascii="Arial" w:hAnsi="Arial" w:cs="Arial"/>
          <w:sz w:val="24"/>
          <w:szCs w:val="24"/>
        </w:rPr>
        <w:t>”, medida en función de la cantidad de muestras que el equipo puede procesar en un solo ciclo. Las demás ofertas serán calificadas conforme el criterio de proporcionalidad</w:t>
      </w:r>
      <w:r w:rsidR="00D802BE">
        <w:rPr>
          <w:rFonts w:ascii="Arial" w:hAnsi="Arial" w:cs="Arial"/>
          <w:sz w:val="24"/>
          <w:szCs w:val="24"/>
        </w:rPr>
        <w:t>.</w:t>
      </w:r>
    </w:p>
    <w:p w14:paraId="32FE47F6" w14:textId="77777777" w:rsidR="00D802BE" w:rsidRPr="00D802BE" w:rsidRDefault="00D802BE" w:rsidP="00D802BE">
      <w:pPr>
        <w:pStyle w:val="Prrafodelista"/>
        <w:rPr>
          <w:rFonts w:ascii="Arial" w:hAnsi="Arial" w:cs="Arial"/>
          <w:sz w:val="24"/>
          <w:szCs w:val="24"/>
        </w:rPr>
      </w:pPr>
    </w:p>
    <w:p w14:paraId="09689217" w14:textId="2889D306" w:rsidR="000E7196" w:rsidRPr="00A175E6" w:rsidRDefault="000E7196" w:rsidP="00A175E6">
      <w:pPr>
        <w:pStyle w:val="Prrafodelista"/>
        <w:numPr>
          <w:ilvl w:val="0"/>
          <w:numId w:val="11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175E6">
        <w:rPr>
          <w:rFonts w:ascii="Arial" w:hAnsi="Arial" w:cs="Arial"/>
          <w:b/>
          <w:bCs/>
          <w:sz w:val="24"/>
          <w:szCs w:val="24"/>
        </w:rPr>
        <w:t>Cambiador Automático de Capilares</w:t>
      </w:r>
      <w:r w:rsidRPr="00A175E6">
        <w:rPr>
          <w:rFonts w:ascii="Arial" w:hAnsi="Arial" w:cs="Arial"/>
          <w:b/>
          <w:sz w:val="24"/>
          <w:szCs w:val="24"/>
        </w:rPr>
        <w:t>:</w:t>
      </w:r>
      <w:r w:rsidRPr="00A175E6">
        <w:rPr>
          <w:rFonts w:ascii="Arial" w:hAnsi="Arial" w:cs="Arial"/>
          <w:sz w:val="24"/>
          <w:szCs w:val="24"/>
        </w:rPr>
        <w:t xml:space="preserve"> se asignará el puntaje previsto (2 puntos) a la propuesta que oferte un equipo que incluya cambiador automático de capilares´. Las demás que no dispongan esta tecnología serán calificadas sin puntajes</w:t>
      </w:r>
      <w:r w:rsidR="00D802BE">
        <w:rPr>
          <w:rFonts w:ascii="Arial" w:hAnsi="Arial" w:cs="Arial"/>
          <w:sz w:val="24"/>
          <w:szCs w:val="24"/>
        </w:rPr>
        <w:t>.</w:t>
      </w:r>
    </w:p>
    <w:p w14:paraId="0BB92126" w14:textId="77777777" w:rsidR="000E7196" w:rsidRPr="000E7196" w:rsidRDefault="000E7196" w:rsidP="00A175E6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58396966" w14:textId="1FE2E741" w:rsidR="000E7196" w:rsidRPr="00A175E6" w:rsidRDefault="000E7196" w:rsidP="00A175E6">
      <w:pPr>
        <w:pStyle w:val="Prrafodelista"/>
        <w:numPr>
          <w:ilvl w:val="0"/>
          <w:numId w:val="11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175E6">
        <w:rPr>
          <w:rFonts w:ascii="Arial" w:hAnsi="Arial" w:cs="Arial"/>
          <w:b/>
          <w:sz w:val="24"/>
          <w:szCs w:val="24"/>
        </w:rPr>
        <w:t>Preparación Automática de Muestras:</w:t>
      </w:r>
      <w:r w:rsidRPr="00A175E6">
        <w:rPr>
          <w:rFonts w:ascii="Arial" w:hAnsi="Arial" w:cs="Arial"/>
          <w:sz w:val="24"/>
          <w:szCs w:val="24"/>
        </w:rPr>
        <w:t xml:space="preserve"> se asignará el puntaje previsto (2 puntos) a la propuesta que oferte un equipo cuya automatización incluya la función de preparación de muestras (como la dilución y el mezclado). Las demás que no dispongan esta tecnología serán calificadas sin puntajes</w:t>
      </w:r>
      <w:r w:rsidR="00D802BE">
        <w:rPr>
          <w:rFonts w:ascii="Arial" w:hAnsi="Arial" w:cs="Arial"/>
          <w:sz w:val="24"/>
          <w:szCs w:val="24"/>
        </w:rPr>
        <w:t>.</w:t>
      </w:r>
    </w:p>
    <w:p w14:paraId="2D8D498B" w14:textId="77777777" w:rsidR="000E7196" w:rsidRPr="000E7196" w:rsidRDefault="000E7196" w:rsidP="00A175E6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04B2B05" w14:textId="732D1807" w:rsidR="000E7196" w:rsidRPr="00A175E6" w:rsidRDefault="000E7196" w:rsidP="00A175E6">
      <w:pPr>
        <w:pStyle w:val="Prrafodelista"/>
        <w:numPr>
          <w:ilvl w:val="0"/>
          <w:numId w:val="11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175E6">
        <w:rPr>
          <w:rFonts w:ascii="Arial" w:hAnsi="Arial" w:cs="Arial"/>
          <w:b/>
          <w:sz w:val="24"/>
          <w:szCs w:val="24"/>
        </w:rPr>
        <w:t>Sistema de Inyección Automática de Muestras:</w:t>
      </w:r>
      <w:r w:rsidRPr="00A175E6">
        <w:rPr>
          <w:rFonts w:ascii="Arial" w:hAnsi="Arial" w:cs="Arial"/>
          <w:sz w:val="24"/>
          <w:szCs w:val="24"/>
        </w:rPr>
        <w:t xml:space="preserve"> se asignará el puntaje previsto (3 puntos) a la propuesta que oferte un equipo con inyección controlada y repetible de muestras mediante presión o voltaje.  Las demás que no dispongan esta tecnología serán calificadas sin puntajes</w:t>
      </w:r>
      <w:r w:rsidR="00D802BE">
        <w:rPr>
          <w:rFonts w:ascii="Arial" w:hAnsi="Arial" w:cs="Arial"/>
          <w:sz w:val="24"/>
          <w:szCs w:val="24"/>
        </w:rPr>
        <w:t>.</w:t>
      </w:r>
    </w:p>
    <w:p w14:paraId="7EBE2A44" w14:textId="77777777" w:rsidR="000E7196" w:rsidRPr="000E7196" w:rsidRDefault="000E7196" w:rsidP="00A175E6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60686F88" w14:textId="652259FF" w:rsidR="000E7196" w:rsidRPr="00A175E6" w:rsidRDefault="000E7196" w:rsidP="00A175E6">
      <w:pPr>
        <w:pStyle w:val="Prrafodelista"/>
        <w:numPr>
          <w:ilvl w:val="0"/>
          <w:numId w:val="11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175E6">
        <w:rPr>
          <w:rFonts w:ascii="Arial" w:hAnsi="Arial" w:cs="Arial"/>
          <w:b/>
          <w:sz w:val="24"/>
          <w:szCs w:val="24"/>
        </w:rPr>
        <w:t xml:space="preserve">Software con Programación </w:t>
      </w:r>
      <w:proofErr w:type="spellStart"/>
      <w:r w:rsidRPr="00A175E6">
        <w:rPr>
          <w:rFonts w:ascii="Arial" w:hAnsi="Arial" w:cs="Arial"/>
          <w:b/>
          <w:sz w:val="24"/>
          <w:szCs w:val="24"/>
        </w:rPr>
        <w:t>Multimétodo</w:t>
      </w:r>
      <w:proofErr w:type="spellEnd"/>
      <w:r w:rsidRPr="00A175E6">
        <w:rPr>
          <w:rFonts w:ascii="Arial" w:hAnsi="Arial" w:cs="Arial"/>
          <w:b/>
          <w:sz w:val="24"/>
          <w:szCs w:val="24"/>
        </w:rPr>
        <w:t>:</w:t>
      </w:r>
      <w:r w:rsidRPr="00A175E6">
        <w:rPr>
          <w:rFonts w:ascii="Arial" w:hAnsi="Arial" w:cs="Arial"/>
          <w:sz w:val="24"/>
          <w:szCs w:val="24"/>
        </w:rPr>
        <w:t xml:space="preserve"> se asignará el puntaje previsto (3 puntos) a la propuesta que oferte un equipo cuyo software de gestión permita la programación de diferentes métodos de análisis en una secuencia (ajustando automáticamente los parámetros según el tipo de muestra y el análisis requerido)</w:t>
      </w:r>
      <w:r w:rsidR="00D802BE">
        <w:rPr>
          <w:rFonts w:ascii="Arial" w:hAnsi="Arial" w:cs="Arial"/>
          <w:sz w:val="24"/>
          <w:szCs w:val="24"/>
        </w:rPr>
        <w:t>.</w:t>
      </w:r>
    </w:p>
    <w:p w14:paraId="218BA5ED" w14:textId="77777777" w:rsidR="000E7196" w:rsidRPr="000E7196" w:rsidRDefault="000E7196" w:rsidP="00A175E6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05692FB2" w14:textId="77777777" w:rsidR="000E7196" w:rsidRPr="00A175E6" w:rsidRDefault="000E7196" w:rsidP="00A175E6">
      <w:pPr>
        <w:pStyle w:val="Prrafodelista"/>
        <w:numPr>
          <w:ilvl w:val="0"/>
          <w:numId w:val="11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175E6">
        <w:rPr>
          <w:rFonts w:ascii="Arial" w:hAnsi="Arial" w:cs="Arial"/>
          <w:b/>
          <w:sz w:val="24"/>
          <w:szCs w:val="24"/>
        </w:rPr>
        <w:t>Software con reportes calificados:</w:t>
      </w:r>
      <w:r w:rsidRPr="00A175E6">
        <w:rPr>
          <w:rFonts w:ascii="Arial" w:hAnsi="Arial" w:cs="Arial"/>
          <w:sz w:val="24"/>
          <w:szCs w:val="24"/>
        </w:rPr>
        <w:t xml:space="preserve"> se asignará el máximo puntaje previsto (3 puntos) a la propuesta que oferte un equipo cuyo software de gestión emita reportes con el mayor número de criterios de análisis de datos (ej. criterio según tipo de </w:t>
      </w:r>
      <w:r w:rsidRPr="00A175E6">
        <w:rPr>
          <w:rFonts w:ascii="Arial" w:hAnsi="Arial" w:cs="Arial"/>
          <w:sz w:val="24"/>
          <w:szCs w:val="24"/>
        </w:rPr>
        <w:lastRenderedPageBreak/>
        <w:t xml:space="preserve">análisis, criterio demográfico, criterio etario, </w:t>
      </w:r>
      <w:proofErr w:type="spellStart"/>
      <w:r w:rsidRPr="00A175E6">
        <w:rPr>
          <w:rFonts w:ascii="Arial" w:hAnsi="Arial" w:cs="Arial"/>
          <w:sz w:val="24"/>
          <w:szCs w:val="24"/>
        </w:rPr>
        <w:t>etc</w:t>
      </w:r>
      <w:proofErr w:type="spellEnd"/>
      <w:r w:rsidRPr="00A175E6">
        <w:rPr>
          <w:rFonts w:ascii="Arial" w:hAnsi="Arial" w:cs="Arial"/>
          <w:sz w:val="24"/>
          <w:szCs w:val="24"/>
        </w:rPr>
        <w:t xml:space="preserve">). Las demás serán calificadas según el criterio de proporcionalidad.  </w:t>
      </w:r>
    </w:p>
    <w:p w14:paraId="2F5774CA" w14:textId="77777777" w:rsidR="000E7196" w:rsidRPr="000E7196" w:rsidRDefault="000E7196" w:rsidP="00A175E6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49283AE8" w14:textId="77777777" w:rsidR="000E7196" w:rsidRPr="00A175E6" w:rsidRDefault="000E7196" w:rsidP="00A175E6">
      <w:pPr>
        <w:pStyle w:val="Prrafodelista"/>
        <w:numPr>
          <w:ilvl w:val="0"/>
          <w:numId w:val="11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175E6">
        <w:rPr>
          <w:rFonts w:ascii="Arial" w:hAnsi="Arial" w:cs="Arial"/>
          <w:b/>
          <w:bCs/>
          <w:sz w:val="24"/>
          <w:szCs w:val="24"/>
        </w:rPr>
        <w:t xml:space="preserve">Software con Programación </w:t>
      </w:r>
      <w:proofErr w:type="spellStart"/>
      <w:r w:rsidRPr="00A175E6">
        <w:rPr>
          <w:rFonts w:ascii="Arial" w:hAnsi="Arial" w:cs="Arial"/>
          <w:b/>
          <w:bCs/>
          <w:sz w:val="24"/>
          <w:szCs w:val="24"/>
        </w:rPr>
        <w:t>Multimétodo</w:t>
      </w:r>
      <w:proofErr w:type="spellEnd"/>
      <w:r w:rsidRPr="00A175E6">
        <w:rPr>
          <w:rFonts w:ascii="Arial" w:hAnsi="Arial" w:cs="Arial"/>
          <w:sz w:val="24"/>
          <w:szCs w:val="24"/>
        </w:rPr>
        <w:t>: se asignará el puntaje previsto (2 puntos) a la propuesta que oferte un equipo cuyo software de gestión permita la programación de diferentes métodos de análisis en una secuencia, ajustando automáticamente los parámetros según el tipo de muestra y el análisis requerido. Las ofertas que no dispongan dicha funcionalidad serán calificadas sin puntaje.</w:t>
      </w:r>
    </w:p>
    <w:p w14:paraId="2768A1BC" w14:textId="77777777" w:rsidR="000E7196" w:rsidRPr="000E7196" w:rsidRDefault="000E7196" w:rsidP="00A175E6">
      <w:p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74117FC3" w14:textId="77777777" w:rsidR="000E7196" w:rsidRPr="00A175E6" w:rsidRDefault="000E7196" w:rsidP="00A175E6">
      <w:pPr>
        <w:pStyle w:val="Prrafodelista"/>
        <w:numPr>
          <w:ilvl w:val="0"/>
          <w:numId w:val="11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175E6">
        <w:rPr>
          <w:rFonts w:ascii="Arial" w:hAnsi="Arial" w:cs="Arial"/>
          <w:b/>
          <w:bCs/>
          <w:sz w:val="24"/>
          <w:szCs w:val="24"/>
        </w:rPr>
        <w:t>Conectividad con Sistemas de Información del Laboratorio</w:t>
      </w:r>
      <w:r w:rsidRPr="00A175E6">
        <w:rPr>
          <w:rFonts w:ascii="Arial" w:hAnsi="Arial" w:cs="Arial"/>
          <w:sz w:val="24"/>
          <w:szCs w:val="24"/>
        </w:rPr>
        <w:t>: se asignará el puntaje previsto (3 puntos) a la propuesta que oferte un equipo cuyo software de gestión permita la transferencia y el almacenamiento automáticos de datos y resultados en el historial clínico del paciente. Las ofertas que no dispongan dicha funcionalidad serán calificadas sin puntaje.</w:t>
      </w:r>
    </w:p>
    <w:p w14:paraId="5E5F4D34" w14:textId="77777777" w:rsidR="000E7196" w:rsidRPr="000E7196" w:rsidRDefault="000E7196" w:rsidP="00A175E6">
      <w:p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0921BD5A" w14:textId="77777777" w:rsidR="000E7196" w:rsidRPr="00A175E6" w:rsidRDefault="000E7196" w:rsidP="00A175E6">
      <w:pPr>
        <w:pStyle w:val="Prrafodelista"/>
        <w:numPr>
          <w:ilvl w:val="0"/>
          <w:numId w:val="11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175E6">
        <w:rPr>
          <w:rFonts w:ascii="Arial" w:hAnsi="Arial" w:cs="Arial"/>
          <w:b/>
          <w:bCs/>
          <w:sz w:val="24"/>
          <w:szCs w:val="24"/>
        </w:rPr>
        <w:t>Cambio Automático de Condiciones de Carrera</w:t>
      </w:r>
      <w:r w:rsidRPr="00A175E6">
        <w:rPr>
          <w:rFonts w:ascii="Arial" w:hAnsi="Arial" w:cs="Arial"/>
          <w:sz w:val="24"/>
          <w:szCs w:val="24"/>
        </w:rPr>
        <w:t>: se asignará el puntaje previsto (2 puntos) a la propuesta que oferte un equipo con operación de ajuste automático de las condiciones de voltaje, presión, temperatura y tiempo de carrera según los requisitos de cada muestra Las ofertas que no dispongan dicha funcionalidad serán calificadas sin puntaje.</w:t>
      </w:r>
    </w:p>
    <w:p w14:paraId="6E69EA07" w14:textId="77777777" w:rsidR="000E7196" w:rsidRPr="000E7196" w:rsidRDefault="000E7196" w:rsidP="00A175E6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7044018E" w14:textId="77777777" w:rsidR="000E7196" w:rsidRPr="00A175E6" w:rsidRDefault="000E7196" w:rsidP="00A175E6">
      <w:pPr>
        <w:pStyle w:val="Prrafodelista"/>
        <w:numPr>
          <w:ilvl w:val="0"/>
          <w:numId w:val="11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175E6">
        <w:rPr>
          <w:rFonts w:ascii="Arial" w:hAnsi="Arial" w:cs="Arial"/>
          <w:b/>
          <w:bCs/>
          <w:sz w:val="24"/>
          <w:szCs w:val="24"/>
        </w:rPr>
        <w:t>Limpieza y Reacondicionamiento Automático del Capilar</w:t>
      </w:r>
      <w:r w:rsidRPr="00A175E6">
        <w:rPr>
          <w:rFonts w:ascii="Arial" w:hAnsi="Arial" w:cs="Arial"/>
          <w:sz w:val="24"/>
          <w:szCs w:val="24"/>
        </w:rPr>
        <w:t xml:space="preserve">: se asignará el puntaje previsto (2 puntos) a la propuesta que oferte un equipo que disponga función de “mantenimiento automático” para la limpieza y acondicionamiento del capilar entre muestras. </w:t>
      </w:r>
    </w:p>
    <w:p w14:paraId="7BFC9DE4" w14:textId="77777777" w:rsidR="000E7196" w:rsidRPr="000E7196" w:rsidRDefault="000E7196" w:rsidP="00A175E6">
      <w:p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25423708" w14:textId="77777777" w:rsidR="000E7196" w:rsidRPr="00A175E6" w:rsidRDefault="000E7196" w:rsidP="00A175E6">
      <w:pPr>
        <w:pStyle w:val="Prrafodelista"/>
        <w:numPr>
          <w:ilvl w:val="0"/>
          <w:numId w:val="11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175E6">
        <w:rPr>
          <w:rFonts w:ascii="Arial" w:hAnsi="Arial" w:cs="Arial"/>
          <w:b/>
          <w:bCs/>
          <w:sz w:val="24"/>
          <w:szCs w:val="24"/>
        </w:rPr>
        <w:t>Detección de Bloqueos o Fugas</w:t>
      </w:r>
      <w:r w:rsidRPr="00A175E6">
        <w:rPr>
          <w:rFonts w:ascii="Arial" w:hAnsi="Arial" w:cs="Arial"/>
          <w:sz w:val="24"/>
          <w:szCs w:val="24"/>
        </w:rPr>
        <w:t>: se asignará el puntaje previsto (2 puntos) a la propuesta que oferte un equipo que disponga de función de detección de bloqueos en el capilar o fugas.  Las ofertas tecnológicas que no dispongan dicha funcionalidad serán calificadas sin puntaje.</w:t>
      </w:r>
    </w:p>
    <w:p w14:paraId="7845E37A" w14:textId="77777777" w:rsidR="000E7196" w:rsidRPr="000E7196" w:rsidRDefault="000E7196" w:rsidP="000E71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34BAA7" w14:textId="77777777" w:rsidR="000E7196" w:rsidRPr="000E7196" w:rsidRDefault="000E7196" w:rsidP="000E719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E7196">
        <w:rPr>
          <w:rFonts w:ascii="Arial" w:hAnsi="Arial" w:cs="Arial"/>
          <w:b/>
          <w:sz w:val="24"/>
          <w:szCs w:val="24"/>
        </w:rPr>
        <w:t xml:space="preserve">NOTA: Los indicadores de calidad previstos, serán evaluados de acuerdo a la ficha técnica del fabricante del equipo disponible en su sitio oficial web. En su defecto, la evaluación se realizará en función de la ficha técnica que adjunte el </w:t>
      </w:r>
      <w:r w:rsidRPr="000E7196">
        <w:rPr>
          <w:rFonts w:ascii="Arial" w:hAnsi="Arial" w:cs="Arial"/>
          <w:b/>
          <w:sz w:val="24"/>
          <w:szCs w:val="24"/>
        </w:rPr>
        <w:lastRenderedPageBreak/>
        <w:t>oferente en carácter de declaración jurada, pudiendo el organismo licitante requerir la presentación del equipo ofertado para someter el mismo a una prueba de ensayo y comprobación de desempeño.</w:t>
      </w:r>
    </w:p>
    <w:p w14:paraId="3762944A" w14:textId="0E838B80" w:rsidR="00A03CD4" w:rsidRPr="000E7196" w:rsidRDefault="00A03CD4" w:rsidP="000E719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14:paraId="2BCB9819" w14:textId="5B0C0A32" w:rsidR="001642C9" w:rsidRPr="000E7196" w:rsidRDefault="001642C9" w:rsidP="000E7196">
      <w:pPr>
        <w:pStyle w:val="Prrafodelista"/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E719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  <w:t>ACREDITACION ODS s/LEY 9</w:t>
      </w:r>
      <w:r w:rsidR="00B13C95" w:rsidRPr="000E719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  <w:t>.</w:t>
      </w:r>
      <w:r w:rsidRPr="000E719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  <w:t>193</w:t>
      </w:r>
      <w:r w:rsidRPr="000E719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: Para la presente licitación, se considera relevante la evaluación del desempeño empresario de los oferentes, a la luz de las metas de los Objetivos de Desarrollo Sostenible del Pacto Global de las Naciones Unidas (ver  </w:t>
      </w:r>
      <w:hyperlink r:id="rId8" w:history="1">
        <w:r w:rsidRPr="000E7196">
          <w:rPr>
            <w:rFonts w:ascii="Arial" w:eastAsia="Times New Roman" w:hAnsi="Arial" w:cs="Arial"/>
            <w:color w:val="000000"/>
            <w:sz w:val="24"/>
            <w:szCs w:val="24"/>
            <w:lang w:eastAsia="es-AR"/>
          </w:rPr>
          <w:t>https://www.un.org/sustainabledevelopment/es/objetivos-de-desarrollo-sostenible/</w:t>
        </w:r>
      </w:hyperlink>
      <w:r w:rsidRPr="000E719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). En este orden, dentro del máximo previsto (10 puntos), se calificará a los oferentes con el puntaje que les asigne la Dirección General de Contrataciones Públicas y Gestión de Bienes al tiempo de su inscripción o renovación de inscripción o actualización de información en el Registro Único de Proveedores, con anterioridad a la fecha de la publicación del aviso de convocatoria de ofertas. La Comisión de Evaluación verificará el puntaje en cada caso, a través de la información que difunda públicamente en su web institucional la Dirección General de Contrataciones Públicas y Gestión de Bienes (</w:t>
      </w:r>
      <w:hyperlink r:id="rId9" w:history="1">
        <w:r w:rsidRPr="000E7196">
          <w:rPr>
            <w:rFonts w:ascii="Arial" w:eastAsia="Times New Roman" w:hAnsi="Arial" w:cs="Arial"/>
            <w:color w:val="000000"/>
            <w:sz w:val="24"/>
            <w:szCs w:val="24"/>
            <w:lang w:eastAsia="es-AR"/>
          </w:rPr>
          <w:t>https://www.mendoza.gov.ar/compras/compras-publicas-sustentables/</w:t>
        </w:r>
      </w:hyperlink>
      <w:r w:rsidRPr="000E719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). A este efecto, se informan los siguientes ponderadores de calificación del desempeño empresario sustentable, adoptados por la Guía Elemental del Programa de Compras Sustentables de la Administración Provincial (</w:t>
      </w:r>
      <w:hyperlink r:id="rId10" w:history="1">
        <w:r w:rsidRPr="000E7196">
          <w:rPr>
            <w:rFonts w:ascii="Arial" w:eastAsia="Times New Roman" w:hAnsi="Arial" w:cs="Arial"/>
            <w:color w:val="000000"/>
            <w:sz w:val="24"/>
            <w:szCs w:val="24"/>
            <w:lang w:eastAsia="es-AR"/>
          </w:rPr>
          <w:t>https://www.mendoza.gov.ar/compras/compras-publicas-sustentables/</w:t>
        </w:r>
      </w:hyperlink>
      <w:r w:rsidRPr="000E719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)</w:t>
      </w:r>
    </w:p>
    <w:p w14:paraId="3C96D3D8" w14:textId="77777777" w:rsidR="001642C9" w:rsidRPr="000E7196" w:rsidRDefault="001642C9" w:rsidP="000E719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14:paraId="0149DA5E" w14:textId="16E23C34" w:rsidR="001642C9" w:rsidRPr="00B64B43" w:rsidRDefault="001642C9" w:rsidP="000E7196">
      <w:pPr>
        <w:pStyle w:val="Prrafodelista"/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AR"/>
        </w:rPr>
      </w:pPr>
      <w:r w:rsidRPr="00B64B43">
        <w:rPr>
          <w:rFonts w:ascii="Arial" w:eastAsia="Times New Roman" w:hAnsi="Arial" w:cs="Arial"/>
          <w:b/>
          <w:bCs/>
          <w:sz w:val="24"/>
          <w:szCs w:val="24"/>
          <w:u w:val="single"/>
          <w:lang w:eastAsia="es-AR"/>
        </w:rPr>
        <w:t>OFERTA ECONÓMICA - PRECIO</w:t>
      </w:r>
      <w:r w:rsidRPr="00B64B43">
        <w:rPr>
          <w:rFonts w:ascii="Arial" w:eastAsia="Times New Roman" w:hAnsi="Arial" w:cs="Arial"/>
          <w:sz w:val="24"/>
          <w:szCs w:val="24"/>
          <w:lang w:eastAsia="es-AR"/>
        </w:rPr>
        <w:t xml:space="preserve">: Se puntuará con el puntaje máximo (40 puntos) a la oferta que, siendo formal y técnicamente admisible, resulte ser la de menor precio en el respectivo renglón. Las demás ofertas serán puntuadas según la regla de proporcionalidad. Se hace constar que las ofertas que </w:t>
      </w:r>
      <w:r w:rsidR="001446A5" w:rsidRPr="00B64B43">
        <w:rPr>
          <w:rFonts w:ascii="Arial" w:eastAsia="Times New Roman" w:hAnsi="Arial" w:cs="Arial"/>
          <w:sz w:val="24"/>
          <w:szCs w:val="24"/>
          <w:lang w:eastAsia="es-AR"/>
        </w:rPr>
        <w:t>ofertas que no alcancen al menos 30 puntos podrán ser desestimadas por inconvenientes, siempre que no hayan alcanzado un 70% del puntaje total previsto en el rubro "CALIDAD"</w:t>
      </w:r>
      <w:r w:rsidR="00B871E8" w:rsidRPr="00B64B43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14:paraId="23F9D8DE" w14:textId="53B2CED5" w:rsidR="00793BF7" w:rsidRPr="000E7196" w:rsidRDefault="00793BF7" w:rsidP="000E71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B5B080" w14:textId="75FC0146" w:rsidR="00AC5EC2" w:rsidRPr="000E7196" w:rsidRDefault="00AC5EC2" w:rsidP="000E71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7196">
        <w:rPr>
          <w:rFonts w:ascii="Arial" w:hAnsi="Arial" w:cs="Arial"/>
          <w:b/>
          <w:bCs/>
          <w:sz w:val="24"/>
          <w:szCs w:val="24"/>
        </w:rPr>
        <w:t>IMPORTANTE</w:t>
      </w:r>
      <w:r w:rsidRPr="000E7196">
        <w:rPr>
          <w:rFonts w:ascii="Arial" w:hAnsi="Arial" w:cs="Arial"/>
          <w:sz w:val="24"/>
          <w:szCs w:val="24"/>
        </w:rPr>
        <w:t xml:space="preserve">: Se recuerda que esta Grilla Modelo -como toda Grilla Modelo- puede ser modificada por el Organismo Contratante, debiendo en tal caso preservarse la razonabilidad de los indicadores y su coherencia con las particularidades del servicio a contratar (por ejemplo, puede preverse mayor rigurosidad o flexibilidad en los indicadores de capacidad económico financiera, en los antecedentes, o bien incluirse </w:t>
      </w:r>
      <w:r w:rsidRPr="000E7196">
        <w:rPr>
          <w:rFonts w:ascii="Arial" w:hAnsi="Arial" w:cs="Arial"/>
          <w:sz w:val="24"/>
          <w:szCs w:val="24"/>
        </w:rPr>
        <w:lastRenderedPageBreak/>
        <w:t>otros indicadores como podría ser la evaluación de un Programa de Calidad del Servicio).</w:t>
      </w:r>
    </w:p>
    <w:sectPr w:rsidR="00AC5EC2" w:rsidRPr="000E7196" w:rsidSect="000E7196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C0C9B" w14:textId="77777777" w:rsidR="000C24DF" w:rsidRDefault="000C24DF" w:rsidP="00B84F81">
      <w:pPr>
        <w:spacing w:after="0" w:line="240" w:lineRule="auto"/>
      </w:pPr>
      <w:r>
        <w:separator/>
      </w:r>
    </w:p>
  </w:endnote>
  <w:endnote w:type="continuationSeparator" w:id="0">
    <w:p w14:paraId="0D753BD0" w14:textId="77777777" w:rsidR="000C24DF" w:rsidRDefault="000C24DF" w:rsidP="00B8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sz w:val="16"/>
        <w:szCs w:val="16"/>
      </w:rPr>
      <w:id w:val="898021187"/>
      <w:docPartObj>
        <w:docPartGallery w:val="Page Numbers (Bottom of Page)"/>
        <w:docPartUnique/>
      </w:docPartObj>
    </w:sdtPr>
    <w:sdtEndPr/>
    <w:sdtContent>
      <w:p w14:paraId="59D7B46A" w14:textId="7366DDB6" w:rsidR="00B84F81" w:rsidRPr="00B84F81" w:rsidRDefault="00B84F81">
        <w:pPr>
          <w:pStyle w:val="Piedepgina"/>
          <w:jc w:val="center"/>
          <w:rPr>
            <w:b/>
            <w:bCs/>
            <w:sz w:val="16"/>
            <w:szCs w:val="16"/>
          </w:rPr>
        </w:pPr>
        <w:r w:rsidRPr="00B84F81">
          <w:rPr>
            <w:b/>
            <w:bCs/>
            <w:sz w:val="16"/>
            <w:szCs w:val="16"/>
          </w:rPr>
          <w:fldChar w:fldCharType="begin"/>
        </w:r>
        <w:r w:rsidRPr="00B84F81">
          <w:rPr>
            <w:b/>
            <w:bCs/>
            <w:sz w:val="16"/>
            <w:szCs w:val="16"/>
          </w:rPr>
          <w:instrText>PAGE   \* MERGEFORMAT</w:instrText>
        </w:r>
        <w:r w:rsidRPr="00B84F81">
          <w:rPr>
            <w:b/>
            <w:bCs/>
            <w:sz w:val="16"/>
            <w:szCs w:val="16"/>
          </w:rPr>
          <w:fldChar w:fldCharType="separate"/>
        </w:r>
        <w:r w:rsidR="00822411" w:rsidRPr="00822411">
          <w:rPr>
            <w:b/>
            <w:bCs/>
            <w:noProof/>
            <w:sz w:val="16"/>
            <w:szCs w:val="16"/>
            <w:lang w:val="es-ES"/>
          </w:rPr>
          <w:t>1</w:t>
        </w:r>
        <w:r w:rsidRPr="00B84F81">
          <w:rPr>
            <w:b/>
            <w:bCs/>
            <w:sz w:val="16"/>
            <w:szCs w:val="16"/>
          </w:rPr>
          <w:fldChar w:fldCharType="end"/>
        </w:r>
      </w:p>
    </w:sdtContent>
  </w:sdt>
  <w:p w14:paraId="158E997B" w14:textId="77777777" w:rsidR="00B84F81" w:rsidRPr="00B84F81" w:rsidRDefault="00B84F81">
    <w:pPr>
      <w:pStyle w:val="Piedepgina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423C3" w14:textId="77777777" w:rsidR="000C24DF" w:rsidRDefault="000C24DF" w:rsidP="00B84F81">
      <w:pPr>
        <w:spacing w:after="0" w:line="240" w:lineRule="auto"/>
      </w:pPr>
      <w:r>
        <w:separator/>
      </w:r>
    </w:p>
  </w:footnote>
  <w:footnote w:type="continuationSeparator" w:id="0">
    <w:p w14:paraId="3B5A897F" w14:textId="77777777" w:rsidR="000C24DF" w:rsidRDefault="000C24DF" w:rsidP="00B84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4EB1"/>
    <w:multiLevelType w:val="hybridMultilevel"/>
    <w:tmpl w:val="6B38C766"/>
    <w:lvl w:ilvl="0" w:tplc="BBFADA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DB6E99"/>
    <w:multiLevelType w:val="hybridMultilevel"/>
    <w:tmpl w:val="D1149A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16203"/>
    <w:multiLevelType w:val="hybridMultilevel"/>
    <w:tmpl w:val="C0BC60FC"/>
    <w:lvl w:ilvl="0" w:tplc="2C0A001B">
      <w:start w:val="1"/>
      <w:numFmt w:val="low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22924"/>
    <w:multiLevelType w:val="hybridMultilevel"/>
    <w:tmpl w:val="B99407AA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2C0A000F">
      <w:start w:val="1"/>
      <w:numFmt w:val="decimal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A7B5B1E"/>
    <w:multiLevelType w:val="hybridMultilevel"/>
    <w:tmpl w:val="98766D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0BE0"/>
    <w:multiLevelType w:val="multilevel"/>
    <w:tmpl w:val="8404FF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91CB1"/>
    <w:multiLevelType w:val="hybridMultilevel"/>
    <w:tmpl w:val="C5B08F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0656DA"/>
    <w:multiLevelType w:val="hybridMultilevel"/>
    <w:tmpl w:val="5F468918"/>
    <w:lvl w:ilvl="0" w:tplc="73AE5F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86BAB"/>
    <w:multiLevelType w:val="hybridMultilevel"/>
    <w:tmpl w:val="D1149A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30909"/>
    <w:multiLevelType w:val="hybridMultilevel"/>
    <w:tmpl w:val="9B4AE39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E0C42"/>
    <w:multiLevelType w:val="hybridMultilevel"/>
    <w:tmpl w:val="0742A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>
        <w:numFmt w:val="decimal"/>
        <w:lvlText w:val="%1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C9"/>
    <w:rsid w:val="000360D9"/>
    <w:rsid w:val="00054540"/>
    <w:rsid w:val="00072B84"/>
    <w:rsid w:val="000A4D77"/>
    <w:rsid w:val="000C0308"/>
    <w:rsid w:val="000C24DF"/>
    <w:rsid w:val="000E7196"/>
    <w:rsid w:val="001040EB"/>
    <w:rsid w:val="001446A5"/>
    <w:rsid w:val="001642C9"/>
    <w:rsid w:val="001756C1"/>
    <w:rsid w:val="001A73FD"/>
    <w:rsid w:val="00213DE9"/>
    <w:rsid w:val="00355B66"/>
    <w:rsid w:val="003A470C"/>
    <w:rsid w:val="004766A8"/>
    <w:rsid w:val="00557D50"/>
    <w:rsid w:val="00573228"/>
    <w:rsid w:val="005B6816"/>
    <w:rsid w:val="00634BBC"/>
    <w:rsid w:val="0067284F"/>
    <w:rsid w:val="006A1A52"/>
    <w:rsid w:val="006B0012"/>
    <w:rsid w:val="007524BC"/>
    <w:rsid w:val="00793BF7"/>
    <w:rsid w:val="007963E1"/>
    <w:rsid w:val="007C1CA8"/>
    <w:rsid w:val="007C4DD4"/>
    <w:rsid w:val="00822411"/>
    <w:rsid w:val="00843E9C"/>
    <w:rsid w:val="00843F14"/>
    <w:rsid w:val="00850241"/>
    <w:rsid w:val="008A66A8"/>
    <w:rsid w:val="008D0C61"/>
    <w:rsid w:val="008E2C18"/>
    <w:rsid w:val="00905C04"/>
    <w:rsid w:val="00911B38"/>
    <w:rsid w:val="009353E2"/>
    <w:rsid w:val="0093765C"/>
    <w:rsid w:val="009544C0"/>
    <w:rsid w:val="009638D3"/>
    <w:rsid w:val="00A03CD4"/>
    <w:rsid w:val="00A175E6"/>
    <w:rsid w:val="00A32407"/>
    <w:rsid w:val="00A32BF2"/>
    <w:rsid w:val="00AC5EC2"/>
    <w:rsid w:val="00AF082F"/>
    <w:rsid w:val="00B068C8"/>
    <w:rsid w:val="00B13C05"/>
    <w:rsid w:val="00B13C95"/>
    <w:rsid w:val="00B64B43"/>
    <w:rsid w:val="00B84F81"/>
    <w:rsid w:val="00B871E8"/>
    <w:rsid w:val="00BC48C4"/>
    <w:rsid w:val="00BF3BB2"/>
    <w:rsid w:val="00C470E5"/>
    <w:rsid w:val="00C66D3E"/>
    <w:rsid w:val="00D17A88"/>
    <w:rsid w:val="00D4515F"/>
    <w:rsid w:val="00D802BE"/>
    <w:rsid w:val="00DF3EEC"/>
    <w:rsid w:val="00EB52F1"/>
    <w:rsid w:val="00F54593"/>
    <w:rsid w:val="00F854DF"/>
    <w:rsid w:val="00F860B4"/>
    <w:rsid w:val="00FC648D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F446"/>
  <w15:chartTrackingRefBased/>
  <w15:docId w15:val="{1BD4F7D9-2420-4F8C-827F-ACD09690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2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2C9"/>
    <w:pPr>
      <w:ind w:left="720"/>
      <w:contextualSpacing/>
    </w:pPr>
    <w:rPr>
      <w:kern w:val="2"/>
    </w:rPr>
  </w:style>
  <w:style w:type="paragraph" w:styleId="Encabezado">
    <w:name w:val="header"/>
    <w:basedOn w:val="Normal"/>
    <w:link w:val="EncabezadoCar"/>
    <w:uiPriority w:val="99"/>
    <w:unhideWhenUsed/>
    <w:rsid w:val="00B84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F81"/>
  </w:style>
  <w:style w:type="paragraph" w:styleId="Piedepgina">
    <w:name w:val="footer"/>
    <w:basedOn w:val="Normal"/>
    <w:link w:val="PiedepginaCar"/>
    <w:uiPriority w:val="99"/>
    <w:unhideWhenUsed/>
    <w:rsid w:val="00B84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F81"/>
  </w:style>
  <w:style w:type="character" w:styleId="Textoennegrita">
    <w:name w:val="Strong"/>
    <w:basedOn w:val="Fuentedeprrafopredeter"/>
    <w:uiPriority w:val="22"/>
    <w:qFormat/>
    <w:rsid w:val="00796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objetivos-de-desarrollo-sostenibl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endoza.gov.ar/compras/compras-publicas-sustentab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ndoza.gov.ar/compras/compras-publicas-sustentabl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90781-1AA6-44C0-830A-11E338FB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1554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Roberto Cabaña</cp:lastModifiedBy>
  <cp:revision>2</cp:revision>
  <dcterms:created xsi:type="dcterms:W3CDTF">2024-11-19T15:22:00Z</dcterms:created>
  <dcterms:modified xsi:type="dcterms:W3CDTF">2024-11-19T15:22:00Z</dcterms:modified>
</cp:coreProperties>
</file>