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21AD8" w14:textId="7739CE38" w:rsidR="00D20857" w:rsidRPr="005734C2" w:rsidRDefault="00627348" w:rsidP="00D50517">
      <w:pPr>
        <w:spacing w:after="0" w:line="360" w:lineRule="auto"/>
        <w:jc w:val="center"/>
        <w:rPr>
          <w:rFonts w:ascii="Arial" w:hAnsi="Arial" w:cs="Arial"/>
          <w:b/>
          <w:sz w:val="24"/>
          <w:szCs w:val="24"/>
          <w:u w:val="single"/>
        </w:rPr>
      </w:pPr>
      <w:r w:rsidRPr="005734C2">
        <w:rPr>
          <w:rFonts w:ascii="Arial" w:hAnsi="Arial" w:cs="Arial"/>
          <w:b/>
          <w:sz w:val="24"/>
          <w:szCs w:val="24"/>
          <w:u w:val="single"/>
        </w:rPr>
        <w:t xml:space="preserve">GRILLA </w:t>
      </w:r>
      <w:r w:rsidR="00A0217C" w:rsidRPr="005734C2">
        <w:rPr>
          <w:rFonts w:ascii="Arial" w:hAnsi="Arial" w:cs="Arial"/>
          <w:b/>
          <w:sz w:val="24"/>
          <w:szCs w:val="24"/>
          <w:u w:val="single"/>
        </w:rPr>
        <w:t>DE EVALUACIÓN</w:t>
      </w:r>
      <w:r w:rsidRPr="005734C2">
        <w:rPr>
          <w:rFonts w:ascii="Arial" w:hAnsi="Arial" w:cs="Arial"/>
          <w:b/>
          <w:sz w:val="24"/>
          <w:szCs w:val="24"/>
          <w:u w:val="single"/>
        </w:rPr>
        <w:t xml:space="preserve"> </w:t>
      </w:r>
      <w:r w:rsidR="003D0451">
        <w:rPr>
          <w:rFonts w:ascii="Arial" w:hAnsi="Arial" w:cs="Arial"/>
          <w:b/>
          <w:sz w:val="24"/>
          <w:szCs w:val="24"/>
          <w:u w:val="single"/>
        </w:rPr>
        <w:t>-</w:t>
      </w:r>
      <w:r w:rsidRPr="005734C2">
        <w:rPr>
          <w:rFonts w:ascii="Arial" w:hAnsi="Arial" w:cs="Arial"/>
          <w:b/>
          <w:sz w:val="24"/>
          <w:szCs w:val="24"/>
          <w:u w:val="single"/>
        </w:rPr>
        <w:t xml:space="preserve"> CARTUCHOS</w:t>
      </w:r>
      <w:r w:rsidR="00D50517">
        <w:rPr>
          <w:rFonts w:ascii="Arial" w:hAnsi="Arial" w:cs="Arial"/>
          <w:b/>
          <w:sz w:val="24"/>
          <w:szCs w:val="24"/>
          <w:u w:val="single"/>
        </w:rPr>
        <w:t xml:space="preserve"> DE </w:t>
      </w:r>
      <w:r w:rsidR="00460448">
        <w:rPr>
          <w:rFonts w:ascii="Arial" w:hAnsi="Arial" w:cs="Arial"/>
          <w:b/>
          <w:sz w:val="24"/>
          <w:szCs w:val="24"/>
          <w:u w:val="single"/>
        </w:rPr>
        <w:t>TÓNER PARA IMPRESIÓN</w:t>
      </w:r>
      <w:r w:rsidR="00265184">
        <w:rPr>
          <w:rFonts w:ascii="Arial" w:hAnsi="Arial" w:cs="Arial"/>
          <w:b/>
          <w:sz w:val="24"/>
          <w:szCs w:val="24"/>
          <w:u w:val="single"/>
        </w:rPr>
        <w:t xml:space="preserve"> – V. 12.24</w:t>
      </w:r>
    </w:p>
    <w:p w14:paraId="7E062851" w14:textId="77777777" w:rsidR="000068BC" w:rsidRPr="005734C2" w:rsidRDefault="000068BC" w:rsidP="001D6FB0">
      <w:pPr>
        <w:spacing w:after="0" w:line="360" w:lineRule="auto"/>
        <w:jc w:val="both"/>
        <w:rPr>
          <w:rFonts w:ascii="Arial" w:hAnsi="Arial" w:cs="Arial"/>
          <w:b/>
          <w:sz w:val="24"/>
          <w:szCs w:val="24"/>
          <w:u w:val="single"/>
        </w:rPr>
      </w:pPr>
    </w:p>
    <w:tbl>
      <w:tblPr>
        <w:tblW w:w="5220" w:type="dxa"/>
        <w:jc w:val="center"/>
        <w:tblCellMar>
          <w:left w:w="70" w:type="dxa"/>
          <w:right w:w="70" w:type="dxa"/>
        </w:tblCellMar>
        <w:tblLook w:val="04A0" w:firstRow="1" w:lastRow="0" w:firstColumn="1" w:lastColumn="0" w:noHBand="0" w:noVBand="1"/>
      </w:tblPr>
      <w:tblGrid>
        <w:gridCol w:w="380"/>
        <w:gridCol w:w="3688"/>
        <w:gridCol w:w="1280"/>
      </w:tblGrid>
      <w:tr w:rsidR="000002C0" w:rsidRPr="000002C0" w14:paraId="29E38B33" w14:textId="77777777" w:rsidTr="000002C0">
        <w:trPr>
          <w:trHeight w:val="420"/>
          <w:jc w:val="center"/>
        </w:trPr>
        <w:tc>
          <w:tcPr>
            <w:tcW w:w="39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A3C843" w14:textId="77777777" w:rsidR="000002C0" w:rsidRPr="000002C0" w:rsidRDefault="000002C0" w:rsidP="000002C0">
            <w:pPr>
              <w:spacing w:after="0" w:line="240" w:lineRule="auto"/>
              <w:jc w:val="center"/>
              <w:rPr>
                <w:rFonts w:ascii="Arial" w:eastAsia="Times New Roman" w:hAnsi="Arial" w:cs="Arial"/>
                <w:b/>
                <w:bCs/>
                <w:color w:val="000000"/>
                <w:sz w:val="24"/>
                <w:szCs w:val="24"/>
                <w:lang w:eastAsia="es-AR"/>
              </w:rPr>
            </w:pPr>
            <w:r w:rsidRPr="000002C0">
              <w:rPr>
                <w:rFonts w:ascii="Arial" w:eastAsia="Times New Roman" w:hAnsi="Arial" w:cs="Arial"/>
                <w:b/>
                <w:bCs/>
                <w:color w:val="000000"/>
                <w:sz w:val="24"/>
                <w:szCs w:val="24"/>
                <w:lang w:eastAsia="es-AR"/>
              </w:rPr>
              <w:t>CRITERIO</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4D46A2E2" w14:textId="77777777" w:rsidR="000002C0" w:rsidRPr="000002C0" w:rsidRDefault="000002C0" w:rsidP="000002C0">
            <w:pPr>
              <w:spacing w:after="0" w:line="240" w:lineRule="auto"/>
              <w:jc w:val="center"/>
              <w:rPr>
                <w:rFonts w:ascii="Arial" w:eastAsia="Times New Roman" w:hAnsi="Arial" w:cs="Arial"/>
                <w:b/>
                <w:bCs/>
                <w:color w:val="000000"/>
                <w:sz w:val="24"/>
                <w:szCs w:val="24"/>
                <w:lang w:eastAsia="es-AR"/>
              </w:rPr>
            </w:pPr>
            <w:r w:rsidRPr="000002C0">
              <w:rPr>
                <w:rFonts w:ascii="Arial" w:eastAsia="Times New Roman" w:hAnsi="Arial" w:cs="Arial"/>
                <w:b/>
                <w:bCs/>
                <w:color w:val="000000"/>
                <w:sz w:val="24"/>
                <w:szCs w:val="24"/>
                <w:lang w:eastAsia="es-AR"/>
              </w:rPr>
              <w:t>PUNTAJE</w:t>
            </w:r>
          </w:p>
        </w:tc>
      </w:tr>
      <w:tr w:rsidR="000002C0" w:rsidRPr="000002C0" w14:paraId="5CEAB43E" w14:textId="77777777" w:rsidTr="000002C0">
        <w:trPr>
          <w:trHeight w:val="420"/>
          <w:jc w:val="center"/>
        </w:trPr>
        <w:tc>
          <w:tcPr>
            <w:tcW w:w="252" w:type="dxa"/>
            <w:tcBorders>
              <w:top w:val="nil"/>
              <w:left w:val="single" w:sz="8" w:space="0" w:color="auto"/>
              <w:bottom w:val="single" w:sz="4" w:space="0" w:color="auto"/>
              <w:right w:val="single" w:sz="4" w:space="0" w:color="auto"/>
            </w:tcBorders>
            <w:shd w:val="clear" w:color="auto" w:fill="auto"/>
            <w:noWrap/>
            <w:vAlign w:val="center"/>
            <w:hideMark/>
          </w:tcPr>
          <w:p w14:paraId="195FE7DD" w14:textId="77777777" w:rsidR="000002C0" w:rsidRPr="000002C0" w:rsidRDefault="000002C0" w:rsidP="000002C0">
            <w:pPr>
              <w:spacing w:after="0" w:line="240" w:lineRule="auto"/>
              <w:jc w:val="center"/>
              <w:rPr>
                <w:rFonts w:ascii="Arial" w:eastAsia="Times New Roman" w:hAnsi="Arial" w:cs="Arial"/>
                <w:b/>
                <w:bCs/>
                <w:color w:val="000000"/>
                <w:sz w:val="24"/>
                <w:szCs w:val="24"/>
                <w:lang w:eastAsia="es-AR"/>
              </w:rPr>
            </w:pPr>
            <w:r w:rsidRPr="000002C0">
              <w:rPr>
                <w:rFonts w:ascii="Arial" w:eastAsia="Times New Roman" w:hAnsi="Arial" w:cs="Arial"/>
                <w:b/>
                <w:bCs/>
                <w:color w:val="000000"/>
                <w:sz w:val="24"/>
                <w:szCs w:val="24"/>
                <w:lang w:eastAsia="es-AR"/>
              </w:rPr>
              <w:t>1</w:t>
            </w:r>
          </w:p>
        </w:tc>
        <w:tc>
          <w:tcPr>
            <w:tcW w:w="3688" w:type="dxa"/>
            <w:tcBorders>
              <w:top w:val="nil"/>
              <w:left w:val="nil"/>
              <w:bottom w:val="single" w:sz="4" w:space="0" w:color="auto"/>
              <w:right w:val="single" w:sz="4" w:space="0" w:color="auto"/>
            </w:tcBorders>
            <w:shd w:val="clear" w:color="auto" w:fill="auto"/>
            <w:noWrap/>
            <w:vAlign w:val="center"/>
            <w:hideMark/>
          </w:tcPr>
          <w:p w14:paraId="0F4ED5F1" w14:textId="77777777" w:rsidR="000002C0" w:rsidRPr="000002C0" w:rsidRDefault="000002C0" w:rsidP="000002C0">
            <w:pPr>
              <w:spacing w:after="0" w:line="240" w:lineRule="auto"/>
              <w:rPr>
                <w:rFonts w:ascii="Arial" w:eastAsia="Times New Roman" w:hAnsi="Arial" w:cs="Arial"/>
                <w:b/>
                <w:bCs/>
                <w:color w:val="000000"/>
                <w:sz w:val="24"/>
                <w:szCs w:val="24"/>
                <w:lang w:eastAsia="es-AR"/>
              </w:rPr>
            </w:pPr>
            <w:r w:rsidRPr="000002C0">
              <w:rPr>
                <w:rFonts w:ascii="Arial" w:eastAsia="Times New Roman" w:hAnsi="Arial" w:cs="Arial"/>
                <w:b/>
                <w:bCs/>
                <w:color w:val="000000"/>
                <w:sz w:val="24"/>
                <w:szCs w:val="24"/>
                <w:lang w:eastAsia="es-AR"/>
              </w:rPr>
              <w:t>Antecedentes contractuales</w:t>
            </w:r>
          </w:p>
        </w:tc>
        <w:tc>
          <w:tcPr>
            <w:tcW w:w="1280" w:type="dxa"/>
            <w:tcBorders>
              <w:top w:val="nil"/>
              <w:left w:val="nil"/>
              <w:bottom w:val="single" w:sz="4" w:space="0" w:color="auto"/>
              <w:right w:val="single" w:sz="8" w:space="0" w:color="auto"/>
            </w:tcBorders>
            <w:shd w:val="clear" w:color="auto" w:fill="auto"/>
            <w:noWrap/>
            <w:vAlign w:val="center"/>
            <w:hideMark/>
          </w:tcPr>
          <w:p w14:paraId="5E722B0F" w14:textId="77777777" w:rsidR="000002C0" w:rsidRPr="000002C0" w:rsidRDefault="000002C0" w:rsidP="000002C0">
            <w:pPr>
              <w:spacing w:after="0" w:line="240" w:lineRule="auto"/>
              <w:jc w:val="center"/>
              <w:rPr>
                <w:rFonts w:ascii="Arial" w:eastAsia="Times New Roman" w:hAnsi="Arial" w:cs="Arial"/>
                <w:color w:val="000000"/>
                <w:sz w:val="24"/>
                <w:szCs w:val="24"/>
                <w:lang w:eastAsia="es-AR"/>
              </w:rPr>
            </w:pPr>
            <w:r w:rsidRPr="000002C0">
              <w:rPr>
                <w:rFonts w:ascii="Arial" w:eastAsia="Times New Roman" w:hAnsi="Arial" w:cs="Arial"/>
                <w:color w:val="000000"/>
                <w:sz w:val="24"/>
                <w:szCs w:val="24"/>
                <w:lang w:eastAsia="es-AR"/>
              </w:rPr>
              <w:t>10</w:t>
            </w:r>
          </w:p>
        </w:tc>
      </w:tr>
      <w:tr w:rsidR="000002C0" w:rsidRPr="000002C0" w14:paraId="246D1B30" w14:textId="77777777" w:rsidTr="000002C0">
        <w:trPr>
          <w:trHeight w:val="420"/>
          <w:jc w:val="center"/>
        </w:trPr>
        <w:tc>
          <w:tcPr>
            <w:tcW w:w="252" w:type="dxa"/>
            <w:tcBorders>
              <w:top w:val="nil"/>
              <w:left w:val="single" w:sz="8" w:space="0" w:color="auto"/>
              <w:bottom w:val="single" w:sz="4" w:space="0" w:color="auto"/>
              <w:right w:val="single" w:sz="4" w:space="0" w:color="auto"/>
            </w:tcBorders>
            <w:shd w:val="clear" w:color="auto" w:fill="auto"/>
            <w:noWrap/>
            <w:vAlign w:val="center"/>
            <w:hideMark/>
          </w:tcPr>
          <w:p w14:paraId="3311878A" w14:textId="77777777" w:rsidR="000002C0" w:rsidRPr="000002C0" w:rsidRDefault="000002C0" w:rsidP="000002C0">
            <w:pPr>
              <w:spacing w:after="0" w:line="240" w:lineRule="auto"/>
              <w:jc w:val="center"/>
              <w:rPr>
                <w:rFonts w:ascii="Arial" w:eastAsia="Times New Roman" w:hAnsi="Arial" w:cs="Arial"/>
                <w:b/>
                <w:bCs/>
                <w:color w:val="000000"/>
                <w:sz w:val="24"/>
                <w:szCs w:val="24"/>
                <w:lang w:eastAsia="es-AR"/>
              </w:rPr>
            </w:pPr>
            <w:r w:rsidRPr="000002C0">
              <w:rPr>
                <w:rFonts w:ascii="Arial" w:eastAsia="Times New Roman" w:hAnsi="Arial" w:cs="Arial"/>
                <w:b/>
                <w:bCs/>
                <w:color w:val="000000"/>
                <w:sz w:val="24"/>
                <w:szCs w:val="24"/>
                <w:lang w:eastAsia="es-AR"/>
              </w:rPr>
              <w:t>2</w:t>
            </w:r>
          </w:p>
        </w:tc>
        <w:tc>
          <w:tcPr>
            <w:tcW w:w="3688" w:type="dxa"/>
            <w:tcBorders>
              <w:top w:val="nil"/>
              <w:left w:val="nil"/>
              <w:bottom w:val="single" w:sz="4" w:space="0" w:color="auto"/>
              <w:right w:val="single" w:sz="4" w:space="0" w:color="auto"/>
            </w:tcBorders>
            <w:shd w:val="clear" w:color="auto" w:fill="auto"/>
            <w:noWrap/>
            <w:vAlign w:val="center"/>
            <w:hideMark/>
          </w:tcPr>
          <w:p w14:paraId="42898AE1" w14:textId="77777777" w:rsidR="000002C0" w:rsidRPr="000002C0" w:rsidRDefault="000002C0" w:rsidP="000002C0">
            <w:pPr>
              <w:spacing w:after="0" w:line="240" w:lineRule="auto"/>
              <w:rPr>
                <w:rFonts w:ascii="Arial" w:eastAsia="Times New Roman" w:hAnsi="Arial" w:cs="Arial"/>
                <w:b/>
                <w:bCs/>
                <w:color w:val="000000"/>
                <w:sz w:val="24"/>
                <w:szCs w:val="24"/>
                <w:lang w:eastAsia="es-AR"/>
              </w:rPr>
            </w:pPr>
            <w:r w:rsidRPr="000002C0">
              <w:rPr>
                <w:rFonts w:ascii="Arial" w:eastAsia="Arial" w:hAnsi="Arial" w:cs="Arial"/>
                <w:b/>
                <w:bCs/>
                <w:color w:val="000000"/>
                <w:sz w:val="24"/>
                <w:szCs w:val="24"/>
                <w:lang w:eastAsia="es-AR"/>
              </w:rPr>
              <w:t>Indicadores de calidad</w:t>
            </w:r>
          </w:p>
        </w:tc>
        <w:tc>
          <w:tcPr>
            <w:tcW w:w="1280"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31A1BA19" w14:textId="77777777" w:rsidR="000002C0" w:rsidRPr="000002C0" w:rsidRDefault="000002C0" w:rsidP="000002C0">
            <w:pPr>
              <w:spacing w:after="0" w:line="240" w:lineRule="auto"/>
              <w:jc w:val="center"/>
              <w:rPr>
                <w:rFonts w:ascii="Arial" w:eastAsia="Times New Roman" w:hAnsi="Arial" w:cs="Arial"/>
                <w:color w:val="000000"/>
                <w:sz w:val="24"/>
                <w:szCs w:val="24"/>
                <w:lang w:eastAsia="es-AR"/>
              </w:rPr>
            </w:pPr>
            <w:r w:rsidRPr="000002C0">
              <w:rPr>
                <w:rFonts w:ascii="Arial" w:eastAsia="Times New Roman" w:hAnsi="Arial" w:cs="Arial"/>
                <w:color w:val="000000"/>
                <w:sz w:val="24"/>
                <w:szCs w:val="24"/>
                <w:lang w:eastAsia="es-AR"/>
              </w:rPr>
              <w:t>25</w:t>
            </w:r>
          </w:p>
        </w:tc>
      </w:tr>
      <w:tr w:rsidR="000002C0" w:rsidRPr="000002C0" w14:paraId="4D48A1E1" w14:textId="77777777" w:rsidTr="000002C0">
        <w:trPr>
          <w:trHeight w:val="420"/>
          <w:jc w:val="center"/>
        </w:trPr>
        <w:tc>
          <w:tcPr>
            <w:tcW w:w="252" w:type="dxa"/>
            <w:tcBorders>
              <w:top w:val="nil"/>
              <w:left w:val="single" w:sz="8" w:space="0" w:color="auto"/>
              <w:bottom w:val="single" w:sz="4" w:space="0" w:color="auto"/>
              <w:right w:val="single" w:sz="4" w:space="0" w:color="auto"/>
            </w:tcBorders>
            <w:shd w:val="clear" w:color="auto" w:fill="auto"/>
            <w:noWrap/>
            <w:vAlign w:val="center"/>
            <w:hideMark/>
          </w:tcPr>
          <w:p w14:paraId="08B8CC91" w14:textId="77777777" w:rsidR="000002C0" w:rsidRPr="000002C0" w:rsidRDefault="000002C0" w:rsidP="000002C0">
            <w:pPr>
              <w:spacing w:after="0" w:line="240" w:lineRule="auto"/>
              <w:jc w:val="center"/>
              <w:rPr>
                <w:rFonts w:ascii="Arial" w:eastAsia="Times New Roman" w:hAnsi="Arial" w:cs="Arial"/>
                <w:color w:val="000000"/>
                <w:sz w:val="24"/>
                <w:szCs w:val="24"/>
                <w:lang w:eastAsia="es-AR"/>
              </w:rPr>
            </w:pPr>
            <w:r w:rsidRPr="000002C0">
              <w:rPr>
                <w:rFonts w:ascii="Arial" w:eastAsia="Times New Roman" w:hAnsi="Arial" w:cs="Arial"/>
                <w:color w:val="000000"/>
                <w:sz w:val="24"/>
                <w:szCs w:val="24"/>
                <w:lang w:eastAsia="es-AR"/>
              </w:rPr>
              <w:t>a.</w:t>
            </w:r>
          </w:p>
        </w:tc>
        <w:tc>
          <w:tcPr>
            <w:tcW w:w="3688" w:type="dxa"/>
            <w:tcBorders>
              <w:top w:val="nil"/>
              <w:left w:val="nil"/>
              <w:bottom w:val="single" w:sz="4" w:space="0" w:color="auto"/>
              <w:right w:val="single" w:sz="4" w:space="0" w:color="auto"/>
            </w:tcBorders>
            <w:shd w:val="clear" w:color="auto" w:fill="auto"/>
            <w:noWrap/>
            <w:vAlign w:val="center"/>
            <w:hideMark/>
          </w:tcPr>
          <w:p w14:paraId="348C9F22" w14:textId="77777777" w:rsidR="000002C0" w:rsidRPr="000002C0" w:rsidRDefault="000002C0" w:rsidP="000002C0">
            <w:pPr>
              <w:spacing w:after="0" w:line="240" w:lineRule="auto"/>
              <w:rPr>
                <w:rFonts w:ascii="Arial" w:eastAsia="Times New Roman" w:hAnsi="Arial" w:cs="Arial"/>
                <w:color w:val="000000"/>
                <w:sz w:val="24"/>
                <w:szCs w:val="24"/>
                <w:lang w:eastAsia="es-AR"/>
              </w:rPr>
            </w:pPr>
            <w:r w:rsidRPr="000002C0">
              <w:rPr>
                <w:rFonts w:ascii="Arial" w:eastAsia="Arial" w:hAnsi="Arial" w:cs="Arial"/>
                <w:color w:val="000000"/>
                <w:sz w:val="24"/>
                <w:szCs w:val="24"/>
                <w:lang w:eastAsia="es-AR"/>
              </w:rPr>
              <w:t>Procedencia (5)</w:t>
            </w:r>
          </w:p>
        </w:tc>
        <w:tc>
          <w:tcPr>
            <w:tcW w:w="1280" w:type="dxa"/>
            <w:vMerge/>
            <w:tcBorders>
              <w:top w:val="nil"/>
              <w:left w:val="single" w:sz="4" w:space="0" w:color="auto"/>
              <w:bottom w:val="single" w:sz="4" w:space="0" w:color="000000"/>
              <w:right w:val="single" w:sz="8" w:space="0" w:color="auto"/>
            </w:tcBorders>
            <w:vAlign w:val="center"/>
            <w:hideMark/>
          </w:tcPr>
          <w:p w14:paraId="11C1A7A2" w14:textId="77777777" w:rsidR="000002C0" w:rsidRPr="000002C0" w:rsidRDefault="000002C0" w:rsidP="000002C0">
            <w:pPr>
              <w:spacing w:after="0" w:line="240" w:lineRule="auto"/>
              <w:rPr>
                <w:rFonts w:ascii="Arial" w:eastAsia="Times New Roman" w:hAnsi="Arial" w:cs="Arial"/>
                <w:color w:val="000000"/>
                <w:sz w:val="24"/>
                <w:szCs w:val="24"/>
                <w:lang w:eastAsia="es-AR"/>
              </w:rPr>
            </w:pPr>
          </w:p>
        </w:tc>
      </w:tr>
      <w:tr w:rsidR="000002C0" w:rsidRPr="000002C0" w14:paraId="76C4412B" w14:textId="77777777" w:rsidTr="000002C0">
        <w:trPr>
          <w:trHeight w:val="420"/>
          <w:jc w:val="center"/>
        </w:trPr>
        <w:tc>
          <w:tcPr>
            <w:tcW w:w="252" w:type="dxa"/>
            <w:tcBorders>
              <w:top w:val="nil"/>
              <w:left w:val="single" w:sz="8" w:space="0" w:color="auto"/>
              <w:bottom w:val="single" w:sz="4" w:space="0" w:color="auto"/>
              <w:right w:val="single" w:sz="4" w:space="0" w:color="auto"/>
            </w:tcBorders>
            <w:shd w:val="clear" w:color="auto" w:fill="auto"/>
            <w:noWrap/>
            <w:vAlign w:val="center"/>
            <w:hideMark/>
          </w:tcPr>
          <w:p w14:paraId="76771F22" w14:textId="77777777" w:rsidR="000002C0" w:rsidRPr="000002C0" w:rsidRDefault="000002C0" w:rsidP="000002C0">
            <w:pPr>
              <w:spacing w:after="0" w:line="240" w:lineRule="auto"/>
              <w:jc w:val="center"/>
              <w:rPr>
                <w:rFonts w:ascii="Arial" w:eastAsia="Times New Roman" w:hAnsi="Arial" w:cs="Arial"/>
                <w:color w:val="000000"/>
                <w:sz w:val="24"/>
                <w:szCs w:val="24"/>
                <w:lang w:eastAsia="es-AR"/>
              </w:rPr>
            </w:pPr>
            <w:r w:rsidRPr="000002C0">
              <w:rPr>
                <w:rFonts w:ascii="Arial" w:eastAsia="Times New Roman" w:hAnsi="Arial" w:cs="Arial"/>
                <w:color w:val="000000"/>
                <w:sz w:val="24"/>
                <w:szCs w:val="24"/>
                <w:lang w:eastAsia="es-AR"/>
              </w:rPr>
              <w:t>b.</w:t>
            </w:r>
          </w:p>
        </w:tc>
        <w:tc>
          <w:tcPr>
            <w:tcW w:w="3688" w:type="dxa"/>
            <w:tcBorders>
              <w:top w:val="nil"/>
              <w:left w:val="nil"/>
              <w:bottom w:val="single" w:sz="4" w:space="0" w:color="auto"/>
              <w:right w:val="single" w:sz="4" w:space="0" w:color="auto"/>
            </w:tcBorders>
            <w:shd w:val="clear" w:color="auto" w:fill="auto"/>
            <w:noWrap/>
            <w:vAlign w:val="center"/>
            <w:hideMark/>
          </w:tcPr>
          <w:p w14:paraId="52F258DB" w14:textId="77777777" w:rsidR="000002C0" w:rsidRPr="000002C0" w:rsidRDefault="000002C0" w:rsidP="000002C0">
            <w:pPr>
              <w:spacing w:after="0" w:line="240" w:lineRule="auto"/>
              <w:rPr>
                <w:rFonts w:ascii="Arial" w:eastAsia="Times New Roman" w:hAnsi="Arial" w:cs="Arial"/>
                <w:color w:val="000000"/>
                <w:sz w:val="24"/>
                <w:szCs w:val="24"/>
                <w:lang w:eastAsia="es-AR"/>
              </w:rPr>
            </w:pPr>
            <w:r w:rsidRPr="000002C0">
              <w:rPr>
                <w:rFonts w:ascii="Arial" w:eastAsia="Arial" w:hAnsi="Arial" w:cs="Arial"/>
                <w:color w:val="000000"/>
                <w:sz w:val="24"/>
                <w:szCs w:val="24"/>
                <w:lang w:eastAsia="es-AR"/>
              </w:rPr>
              <w:t>Rendimiento (5)</w:t>
            </w:r>
          </w:p>
        </w:tc>
        <w:tc>
          <w:tcPr>
            <w:tcW w:w="1280" w:type="dxa"/>
            <w:vMerge/>
            <w:tcBorders>
              <w:top w:val="nil"/>
              <w:left w:val="single" w:sz="4" w:space="0" w:color="auto"/>
              <w:bottom w:val="single" w:sz="4" w:space="0" w:color="000000"/>
              <w:right w:val="single" w:sz="8" w:space="0" w:color="auto"/>
            </w:tcBorders>
            <w:vAlign w:val="center"/>
            <w:hideMark/>
          </w:tcPr>
          <w:p w14:paraId="3647ACFD" w14:textId="77777777" w:rsidR="000002C0" w:rsidRPr="000002C0" w:rsidRDefault="000002C0" w:rsidP="000002C0">
            <w:pPr>
              <w:spacing w:after="0" w:line="240" w:lineRule="auto"/>
              <w:rPr>
                <w:rFonts w:ascii="Arial" w:eastAsia="Times New Roman" w:hAnsi="Arial" w:cs="Arial"/>
                <w:color w:val="000000"/>
                <w:sz w:val="24"/>
                <w:szCs w:val="24"/>
                <w:lang w:eastAsia="es-AR"/>
              </w:rPr>
            </w:pPr>
          </w:p>
        </w:tc>
      </w:tr>
      <w:tr w:rsidR="000002C0" w:rsidRPr="000002C0" w14:paraId="50690059" w14:textId="77777777" w:rsidTr="000002C0">
        <w:trPr>
          <w:trHeight w:val="420"/>
          <w:jc w:val="center"/>
        </w:trPr>
        <w:tc>
          <w:tcPr>
            <w:tcW w:w="252" w:type="dxa"/>
            <w:tcBorders>
              <w:top w:val="nil"/>
              <w:left w:val="single" w:sz="8" w:space="0" w:color="auto"/>
              <w:bottom w:val="single" w:sz="4" w:space="0" w:color="auto"/>
              <w:right w:val="single" w:sz="4" w:space="0" w:color="auto"/>
            </w:tcBorders>
            <w:shd w:val="clear" w:color="auto" w:fill="auto"/>
            <w:noWrap/>
            <w:vAlign w:val="center"/>
            <w:hideMark/>
          </w:tcPr>
          <w:p w14:paraId="620517F7" w14:textId="77777777" w:rsidR="000002C0" w:rsidRPr="000002C0" w:rsidRDefault="000002C0" w:rsidP="000002C0">
            <w:pPr>
              <w:spacing w:after="0" w:line="240" w:lineRule="auto"/>
              <w:jc w:val="center"/>
              <w:rPr>
                <w:rFonts w:ascii="Arial" w:eastAsia="Times New Roman" w:hAnsi="Arial" w:cs="Arial"/>
                <w:color w:val="000000"/>
                <w:sz w:val="24"/>
                <w:szCs w:val="24"/>
                <w:lang w:eastAsia="es-AR"/>
              </w:rPr>
            </w:pPr>
            <w:r w:rsidRPr="000002C0">
              <w:rPr>
                <w:rFonts w:ascii="Arial" w:eastAsia="Times New Roman" w:hAnsi="Arial" w:cs="Arial"/>
                <w:color w:val="000000"/>
                <w:sz w:val="24"/>
                <w:szCs w:val="24"/>
                <w:lang w:eastAsia="es-AR"/>
              </w:rPr>
              <w:t>c.</w:t>
            </w:r>
          </w:p>
        </w:tc>
        <w:tc>
          <w:tcPr>
            <w:tcW w:w="3688" w:type="dxa"/>
            <w:tcBorders>
              <w:top w:val="nil"/>
              <w:left w:val="nil"/>
              <w:bottom w:val="single" w:sz="4" w:space="0" w:color="auto"/>
              <w:right w:val="single" w:sz="4" w:space="0" w:color="auto"/>
            </w:tcBorders>
            <w:shd w:val="clear" w:color="auto" w:fill="auto"/>
            <w:noWrap/>
            <w:vAlign w:val="center"/>
            <w:hideMark/>
          </w:tcPr>
          <w:p w14:paraId="7875369E" w14:textId="77777777" w:rsidR="000002C0" w:rsidRPr="000002C0" w:rsidRDefault="000002C0" w:rsidP="000002C0">
            <w:pPr>
              <w:spacing w:after="0" w:line="240" w:lineRule="auto"/>
              <w:rPr>
                <w:rFonts w:ascii="Arial" w:eastAsia="Times New Roman" w:hAnsi="Arial" w:cs="Arial"/>
                <w:color w:val="000000"/>
                <w:sz w:val="24"/>
                <w:szCs w:val="24"/>
                <w:lang w:eastAsia="es-AR"/>
              </w:rPr>
            </w:pPr>
            <w:r w:rsidRPr="000002C0">
              <w:rPr>
                <w:rFonts w:ascii="Arial" w:eastAsia="Arial" w:hAnsi="Arial" w:cs="Arial"/>
                <w:color w:val="000000"/>
                <w:sz w:val="24"/>
                <w:szCs w:val="24"/>
                <w:lang w:eastAsia="es-AR"/>
              </w:rPr>
              <w:t>Certificaciones ISO/IEC:</w:t>
            </w:r>
          </w:p>
        </w:tc>
        <w:tc>
          <w:tcPr>
            <w:tcW w:w="1280" w:type="dxa"/>
            <w:vMerge/>
            <w:tcBorders>
              <w:top w:val="nil"/>
              <w:left w:val="single" w:sz="4" w:space="0" w:color="auto"/>
              <w:bottom w:val="single" w:sz="4" w:space="0" w:color="000000"/>
              <w:right w:val="single" w:sz="8" w:space="0" w:color="auto"/>
            </w:tcBorders>
            <w:vAlign w:val="center"/>
            <w:hideMark/>
          </w:tcPr>
          <w:p w14:paraId="43BD4E13" w14:textId="77777777" w:rsidR="000002C0" w:rsidRPr="000002C0" w:rsidRDefault="000002C0" w:rsidP="000002C0">
            <w:pPr>
              <w:spacing w:after="0" w:line="240" w:lineRule="auto"/>
              <w:rPr>
                <w:rFonts w:ascii="Arial" w:eastAsia="Times New Roman" w:hAnsi="Arial" w:cs="Arial"/>
                <w:color w:val="000000"/>
                <w:sz w:val="24"/>
                <w:szCs w:val="24"/>
                <w:lang w:eastAsia="es-AR"/>
              </w:rPr>
            </w:pPr>
          </w:p>
        </w:tc>
      </w:tr>
      <w:tr w:rsidR="000002C0" w:rsidRPr="000002C0" w14:paraId="68FAAA7D" w14:textId="77777777" w:rsidTr="000002C0">
        <w:trPr>
          <w:trHeight w:val="420"/>
          <w:jc w:val="center"/>
        </w:trPr>
        <w:tc>
          <w:tcPr>
            <w:tcW w:w="252" w:type="dxa"/>
            <w:tcBorders>
              <w:top w:val="nil"/>
              <w:left w:val="single" w:sz="8" w:space="0" w:color="auto"/>
              <w:bottom w:val="single" w:sz="4" w:space="0" w:color="auto"/>
              <w:right w:val="single" w:sz="4" w:space="0" w:color="auto"/>
            </w:tcBorders>
            <w:shd w:val="clear" w:color="auto" w:fill="auto"/>
            <w:noWrap/>
            <w:vAlign w:val="center"/>
            <w:hideMark/>
          </w:tcPr>
          <w:p w14:paraId="673F412D" w14:textId="77777777" w:rsidR="000002C0" w:rsidRPr="000002C0" w:rsidRDefault="000002C0" w:rsidP="000002C0">
            <w:pPr>
              <w:spacing w:after="0" w:line="240" w:lineRule="auto"/>
              <w:jc w:val="right"/>
              <w:rPr>
                <w:rFonts w:ascii="Arial" w:eastAsia="Times New Roman" w:hAnsi="Arial" w:cs="Arial"/>
                <w:color w:val="000000"/>
                <w:sz w:val="20"/>
                <w:szCs w:val="20"/>
                <w:lang w:eastAsia="es-AR"/>
              </w:rPr>
            </w:pPr>
            <w:r w:rsidRPr="000002C0">
              <w:rPr>
                <w:rFonts w:ascii="Arial" w:eastAsia="Times New Roman" w:hAnsi="Arial" w:cs="Arial"/>
                <w:color w:val="000000"/>
                <w:sz w:val="20"/>
                <w:szCs w:val="20"/>
                <w:lang w:eastAsia="es-AR"/>
              </w:rPr>
              <w:t>i.</w:t>
            </w:r>
          </w:p>
        </w:tc>
        <w:tc>
          <w:tcPr>
            <w:tcW w:w="3688" w:type="dxa"/>
            <w:tcBorders>
              <w:top w:val="nil"/>
              <w:left w:val="nil"/>
              <w:bottom w:val="single" w:sz="4" w:space="0" w:color="auto"/>
              <w:right w:val="single" w:sz="4" w:space="0" w:color="auto"/>
            </w:tcBorders>
            <w:shd w:val="clear" w:color="auto" w:fill="auto"/>
            <w:noWrap/>
            <w:vAlign w:val="center"/>
            <w:hideMark/>
          </w:tcPr>
          <w:p w14:paraId="00B45C4E" w14:textId="77777777" w:rsidR="000002C0" w:rsidRPr="000002C0" w:rsidRDefault="000002C0" w:rsidP="000002C0">
            <w:pPr>
              <w:spacing w:after="0" w:line="240" w:lineRule="auto"/>
              <w:rPr>
                <w:rFonts w:ascii="Arial" w:eastAsia="Times New Roman" w:hAnsi="Arial" w:cs="Arial"/>
                <w:color w:val="000000"/>
                <w:sz w:val="20"/>
                <w:szCs w:val="20"/>
                <w:lang w:eastAsia="es-AR"/>
              </w:rPr>
            </w:pPr>
            <w:r w:rsidRPr="000002C0">
              <w:rPr>
                <w:rFonts w:ascii="Arial" w:eastAsia="Arial" w:hAnsi="Arial" w:cs="Arial"/>
                <w:color w:val="000000"/>
                <w:sz w:val="20"/>
                <w:szCs w:val="20"/>
                <w:lang w:eastAsia="es-AR"/>
              </w:rPr>
              <w:t>ISO/IEC 19752 (2,5)</w:t>
            </w:r>
          </w:p>
        </w:tc>
        <w:tc>
          <w:tcPr>
            <w:tcW w:w="1280" w:type="dxa"/>
            <w:vMerge/>
            <w:tcBorders>
              <w:top w:val="nil"/>
              <w:left w:val="single" w:sz="4" w:space="0" w:color="auto"/>
              <w:bottom w:val="single" w:sz="4" w:space="0" w:color="000000"/>
              <w:right w:val="single" w:sz="8" w:space="0" w:color="auto"/>
            </w:tcBorders>
            <w:vAlign w:val="center"/>
            <w:hideMark/>
          </w:tcPr>
          <w:p w14:paraId="2245C09A" w14:textId="77777777" w:rsidR="000002C0" w:rsidRPr="000002C0" w:rsidRDefault="000002C0" w:rsidP="000002C0">
            <w:pPr>
              <w:spacing w:after="0" w:line="240" w:lineRule="auto"/>
              <w:rPr>
                <w:rFonts w:ascii="Arial" w:eastAsia="Times New Roman" w:hAnsi="Arial" w:cs="Arial"/>
                <w:color w:val="000000"/>
                <w:sz w:val="24"/>
                <w:szCs w:val="24"/>
                <w:lang w:eastAsia="es-AR"/>
              </w:rPr>
            </w:pPr>
          </w:p>
        </w:tc>
      </w:tr>
      <w:tr w:rsidR="000002C0" w:rsidRPr="000002C0" w14:paraId="0601ECD1" w14:textId="77777777" w:rsidTr="000002C0">
        <w:trPr>
          <w:trHeight w:val="420"/>
          <w:jc w:val="center"/>
        </w:trPr>
        <w:tc>
          <w:tcPr>
            <w:tcW w:w="252" w:type="dxa"/>
            <w:tcBorders>
              <w:top w:val="nil"/>
              <w:left w:val="single" w:sz="8" w:space="0" w:color="auto"/>
              <w:bottom w:val="single" w:sz="4" w:space="0" w:color="auto"/>
              <w:right w:val="single" w:sz="4" w:space="0" w:color="auto"/>
            </w:tcBorders>
            <w:shd w:val="clear" w:color="auto" w:fill="auto"/>
            <w:noWrap/>
            <w:vAlign w:val="center"/>
            <w:hideMark/>
          </w:tcPr>
          <w:p w14:paraId="736B5AE1" w14:textId="77777777" w:rsidR="000002C0" w:rsidRPr="000002C0" w:rsidRDefault="000002C0" w:rsidP="000002C0">
            <w:pPr>
              <w:spacing w:after="0" w:line="240" w:lineRule="auto"/>
              <w:jc w:val="right"/>
              <w:rPr>
                <w:rFonts w:ascii="Arial" w:eastAsia="Times New Roman" w:hAnsi="Arial" w:cs="Arial"/>
                <w:color w:val="000000"/>
                <w:sz w:val="20"/>
                <w:szCs w:val="20"/>
                <w:lang w:eastAsia="es-AR"/>
              </w:rPr>
            </w:pPr>
            <w:r w:rsidRPr="000002C0">
              <w:rPr>
                <w:rFonts w:ascii="Arial" w:eastAsia="Times New Roman" w:hAnsi="Arial" w:cs="Arial"/>
                <w:color w:val="000000"/>
                <w:sz w:val="20"/>
                <w:szCs w:val="20"/>
                <w:lang w:eastAsia="es-AR"/>
              </w:rPr>
              <w:t>ii.</w:t>
            </w:r>
          </w:p>
        </w:tc>
        <w:tc>
          <w:tcPr>
            <w:tcW w:w="3688" w:type="dxa"/>
            <w:tcBorders>
              <w:top w:val="nil"/>
              <w:left w:val="nil"/>
              <w:bottom w:val="single" w:sz="4" w:space="0" w:color="auto"/>
              <w:right w:val="single" w:sz="4" w:space="0" w:color="auto"/>
            </w:tcBorders>
            <w:shd w:val="clear" w:color="auto" w:fill="auto"/>
            <w:noWrap/>
            <w:vAlign w:val="center"/>
            <w:hideMark/>
          </w:tcPr>
          <w:p w14:paraId="788A6D9C" w14:textId="77777777" w:rsidR="000002C0" w:rsidRPr="000002C0" w:rsidRDefault="000002C0" w:rsidP="000002C0">
            <w:pPr>
              <w:spacing w:after="0" w:line="240" w:lineRule="auto"/>
              <w:rPr>
                <w:rFonts w:ascii="Arial" w:eastAsia="Times New Roman" w:hAnsi="Arial" w:cs="Arial"/>
                <w:color w:val="000000"/>
                <w:sz w:val="20"/>
                <w:szCs w:val="20"/>
                <w:lang w:eastAsia="es-AR"/>
              </w:rPr>
            </w:pPr>
            <w:r w:rsidRPr="000002C0">
              <w:rPr>
                <w:rFonts w:ascii="Arial" w:eastAsia="Arial" w:hAnsi="Arial" w:cs="Arial"/>
                <w:color w:val="000000"/>
                <w:sz w:val="20"/>
                <w:szCs w:val="20"/>
                <w:lang w:eastAsia="es-AR"/>
              </w:rPr>
              <w:t>ISO/IEC 19798 (2,5)</w:t>
            </w:r>
          </w:p>
        </w:tc>
        <w:tc>
          <w:tcPr>
            <w:tcW w:w="1280" w:type="dxa"/>
            <w:vMerge/>
            <w:tcBorders>
              <w:top w:val="nil"/>
              <w:left w:val="single" w:sz="4" w:space="0" w:color="auto"/>
              <w:bottom w:val="single" w:sz="4" w:space="0" w:color="000000"/>
              <w:right w:val="single" w:sz="8" w:space="0" w:color="auto"/>
            </w:tcBorders>
            <w:vAlign w:val="center"/>
            <w:hideMark/>
          </w:tcPr>
          <w:p w14:paraId="719BEDE2" w14:textId="77777777" w:rsidR="000002C0" w:rsidRPr="000002C0" w:rsidRDefault="000002C0" w:rsidP="000002C0">
            <w:pPr>
              <w:spacing w:after="0" w:line="240" w:lineRule="auto"/>
              <w:rPr>
                <w:rFonts w:ascii="Arial" w:eastAsia="Times New Roman" w:hAnsi="Arial" w:cs="Arial"/>
                <w:color w:val="000000"/>
                <w:sz w:val="24"/>
                <w:szCs w:val="24"/>
                <w:lang w:eastAsia="es-AR"/>
              </w:rPr>
            </w:pPr>
          </w:p>
        </w:tc>
      </w:tr>
      <w:tr w:rsidR="001D38B0" w:rsidRPr="000002C0" w14:paraId="6851A5C1" w14:textId="77777777" w:rsidTr="000002C0">
        <w:trPr>
          <w:trHeight w:val="420"/>
          <w:jc w:val="center"/>
        </w:trPr>
        <w:tc>
          <w:tcPr>
            <w:tcW w:w="252" w:type="dxa"/>
            <w:tcBorders>
              <w:top w:val="nil"/>
              <w:left w:val="single" w:sz="8" w:space="0" w:color="auto"/>
              <w:bottom w:val="single" w:sz="4" w:space="0" w:color="auto"/>
              <w:right w:val="single" w:sz="4" w:space="0" w:color="auto"/>
            </w:tcBorders>
            <w:shd w:val="clear" w:color="auto" w:fill="auto"/>
            <w:noWrap/>
            <w:vAlign w:val="center"/>
          </w:tcPr>
          <w:p w14:paraId="2E3966FB" w14:textId="661DEECB" w:rsidR="001D38B0" w:rsidRPr="000002C0" w:rsidRDefault="001D38B0" w:rsidP="001D38B0">
            <w:pPr>
              <w:spacing w:after="0" w:line="240" w:lineRule="auto"/>
              <w:jc w:val="center"/>
              <w:rPr>
                <w:rFonts w:ascii="Arial" w:eastAsia="Times New Roman" w:hAnsi="Arial" w:cs="Arial"/>
                <w:color w:val="000000"/>
                <w:sz w:val="20"/>
                <w:szCs w:val="20"/>
                <w:lang w:eastAsia="es-AR"/>
              </w:rPr>
            </w:pPr>
            <w:r>
              <w:rPr>
                <w:rFonts w:ascii="Arial" w:eastAsia="Times New Roman" w:hAnsi="Arial" w:cs="Arial"/>
                <w:color w:val="000000"/>
                <w:sz w:val="20"/>
                <w:szCs w:val="20"/>
                <w:lang w:eastAsia="es-AR"/>
              </w:rPr>
              <w:t>iii</w:t>
            </w:r>
          </w:p>
        </w:tc>
        <w:tc>
          <w:tcPr>
            <w:tcW w:w="3688" w:type="dxa"/>
            <w:tcBorders>
              <w:top w:val="nil"/>
              <w:left w:val="nil"/>
              <w:bottom w:val="single" w:sz="4" w:space="0" w:color="auto"/>
              <w:right w:val="single" w:sz="4" w:space="0" w:color="auto"/>
            </w:tcBorders>
            <w:shd w:val="clear" w:color="auto" w:fill="auto"/>
            <w:noWrap/>
            <w:vAlign w:val="center"/>
          </w:tcPr>
          <w:p w14:paraId="6B306CF8" w14:textId="4ACFEBBA" w:rsidR="001D38B0" w:rsidRPr="009E7555" w:rsidRDefault="009E7555" w:rsidP="000002C0">
            <w:pPr>
              <w:spacing w:after="0" w:line="240" w:lineRule="auto"/>
              <w:rPr>
                <w:rFonts w:ascii="Arial" w:eastAsia="Arial" w:hAnsi="Arial" w:cs="Arial"/>
                <w:color w:val="FF0000"/>
                <w:sz w:val="20"/>
                <w:szCs w:val="20"/>
                <w:lang w:eastAsia="es-AR"/>
              </w:rPr>
            </w:pPr>
            <w:r w:rsidRPr="009E7555">
              <w:rPr>
                <w:rFonts w:ascii="Arial" w:eastAsia="Arial" w:hAnsi="Arial" w:cs="Arial"/>
                <w:bCs/>
                <w:sz w:val="20"/>
                <w:szCs w:val="20"/>
                <w:lang w:eastAsia="es-AR"/>
              </w:rPr>
              <w:t>ISO/IEC 24711 (2,5)</w:t>
            </w:r>
          </w:p>
        </w:tc>
        <w:tc>
          <w:tcPr>
            <w:tcW w:w="1280" w:type="dxa"/>
            <w:vMerge/>
            <w:tcBorders>
              <w:top w:val="nil"/>
              <w:left w:val="single" w:sz="4" w:space="0" w:color="auto"/>
              <w:bottom w:val="single" w:sz="4" w:space="0" w:color="000000"/>
              <w:right w:val="single" w:sz="8" w:space="0" w:color="auto"/>
            </w:tcBorders>
            <w:vAlign w:val="center"/>
          </w:tcPr>
          <w:p w14:paraId="3BD1525E" w14:textId="77777777" w:rsidR="001D38B0" w:rsidRPr="000002C0" w:rsidRDefault="001D38B0" w:rsidP="000002C0">
            <w:pPr>
              <w:spacing w:after="0" w:line="240" w:lineRule="auto"/>
              <w:rPr>
                <w:rFonts w:ascii="Arial" w:eastAsia="Times New Roman" w:hAnsi="Arial" w:cs="Arial"/>
                <w:color w:val="000000"/>
                <w:sz w:val="24"/>
                <w:szCs w:val="24"/>
                <w:lang w:eastAsia="es-AR"/>
              </w:rPr>
            </w:pPr>
          </w:p>
        </w:tc>
      </w:tr>
      <w:tr w:rsidR="000002C0" w:rsidRPr="000002C0" w14:paraId="16861FEC" w14:textId="77777777" w:rsidTr="000002C0">
        <w:trPr>
          <w:trHeight w:val="420"/>
          <w:jc w:val="center"/>
        </w:trPr>
        <w:tc>
          <w:tcPr>
            <w:tcW w:w="252" w:type="dxa"/>
            <w:tcBorders>
              <w:top w:val="nil"/>
              <w:left w:val="single" w:sz="8" w:space="0" w:color="auto"/>
              <w:bottom w:val="single" w:sz="4" w:space="0" w:color="auto"/>
              <w:right w:val="single" w:sz="4" w:space="0" w:color="auto"/>
            </w:tcBorders>
            <w:shd w:val="clear" w:color="auto" w:fill="auto"/>
            <w:noWrap/>
            <w:vAlign w:val="center"/>
            <w:hideMark/>
          </w:tcPr>
          <w:p w14:paraId="12E6CF31" w14:textId="6F6409C6" w:rsidR="000002C0" w:rsidRPr="000002C0" w:rsidRDefault="00265184" w:rsidP="00265184">
            <w:pPr>
              <w:spacing w:after="0" w:line="24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iv</w:t>
            </w:r>
            <w:r w:rsidR="000002C0" w:rsidRPr="000002C0">
              <w:rPr>
                <w:rFonts w:ascii="Arial" w:eastAsia="Times New Roman" w:hAnsi="Arial" w:cs="Arial"/>
                <w:color w:val="000000"/>
                <w:sz w:val="24"/>
                <w:szCs w:val="24"/>
                <w:lang w:eastAsia="es-AR"/>
              </w:rPr>
              <w:t>.</w:t>
            </w:r>
          </w:p>
        </w:tc>
        <w:tc>
          <w:tcPr>
            <w:tcW w:w="3688" w:type="dxa"/>
            <w:tcBorders>
              <w:top w:val="nil"/>
              <w:left w:val="nil"/>
              <w:bottom w:val="single" w:sz="4" w:space="0" w:color="auto"/>
              <w:right w:val="single" w:sz="4" w:space="0" w:color="auto"/>
            </w:tcBorders>
            <w:shd w:val="clear" w:color="auto" w:fill="auto"/>
            <w:noWrap/>
            <w:vAlign w:val="center"/>
            <w:hideMark/>
          </w:tcPr>
          <w:p w14:paraId="3BA7464B" w14:textId="2F7B3D37" w:rsidR="000002C0" w:rsidRPr="00265184" w:rsidRDefault="00265184" w:rsidP="000002C0">
            <w:pPr>
              <w:spacing w:after="0" w:line="240" w:lineRule="auto"/>
              <w:rPr>
                <w:rFonts w:ascii="Arial" w:eastAsia="Arial" w:hAnsi="Arial" w:cs="Arial"/>
                <w:color w:val="000000"/>
                <w:sz w:val="24"/>
                <w:szCs w:val="24"/>
                <w:lang w:eastAsia="es-AR"/>
              </w:rPr>
            </w:pPr>
            <w:r w:rsidRPr="00265184">
              <w:rPr>
                <w:rFonts w:ascii="Arial" w:eastAsia="Arial" w:hAnsi="Arial" w:cs="Arial"/>
                <w:color w:val="000000"/>
                <w:sz w:val="24"/>
                <w:szCs w:val="24"/>
                <w:lang w:eastAsia="es-AR"/>
              </w:rPr>
              <w:t>Certificación ISO 14001 (2,5)</w:t>
            </w:r>
          </w:p>
        </w:tc>
        <w:tc>
          <w:tcPr>
            <w:tcW w:w="1280" w:type="dxa"/>
            <w:vMerge/>
            <w:tcBorders>
              <w:top w:val="nil"/>
              <w:left w:val="single" w:sz="4" w:space="0" w:color="auto"/>
              <w:bottom w:val="single" w:sz="4" w:space="0" w:color="000000"/>
              <w:right w:val="single" w:sz="8" w:space="0" w:color="auto"/>
            </w:tcBorders>
            <w:vAlign w:val="center"/>
            <w:hideMark/>
          </w:tcPr>
          <w:p w14:paraId="1B408DA1" w14:textId="77777777" w:rsidR="000002C0" w:rsidRPr="000002C0" w:rsidRDefault="000002C0" w:rsidP="000002C0">
            <w:pPr>
              <w:spacing w:after="0" w:line="240" w:lineRule="auto"/>
              <w:rPr>
                <w:rFonts w:ascii="Arial" w:eastAsia="Times New Roman" w:hAnsi="Arial" w:cs="Arial"/>
                <w:color w:val="000000"/>
                <w:sz w:val="24"/>
                <w:szCs w:val="24"/>
                <w:lang w:eastAsia="es-AR"/>
              </w:rPr>
            </w:pPr>
          </w:p>
        </w:tc>
      </w:tr>
      <w:tr w:rsidR="000002C0" w:rsidRPr="000002C0" w14:paraId="42511DC8" w14:textId="77777777" w:rsidTr="000002C0">
        <w:trPr>
          <w:trHeight w:val="420"/>
          <w:jc w:val="center"/>
        </w:trPr>
        <w:tc>
          <w:tcPr>
            <w:tcW w:w="252" w:type="dxa"/>
            <w:tcBorders>
              <w:top w:val="nil"/>
              <w:left w:val="single" w:sz="8" w:space="0" w:color="auto"/>
              <w:bottom w:val="single" w:sz="4" w:space="0" w:color="auto"/>
              <w:right w:val="single" w:sz="4" w:space="0" w:color="auto"/>
            </w:tcBorders>
            <w:shd w:val="clear" w:color="auto" w:fill="auto"/>
            <w:noWrap/>
            <w:vAlign w:val="center"/>
            <w:hideMark/>
          </w:tcPr>
          <w:p w14:paraId="328370AF" w14:textId="558DBDB1" w:rsidR="000002C0" w:rsidRPr="000002C0" w:rsidRDefault="00265184" w:rsidP="000002C0">
            <w:pPr>
              <w:spacing w:after="0" w:line="240" w:lineRule="auto"/>
              <w:jc w:val="center"/>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d</w:t>
            </w:r>
            <w:r w:rsidR="000002C0" w:rsidRPr="000002C0">
              <w:rPr>
                <w:rFonts w:ascii="Arial" w:eastAsia="Times New Roman" w:hAnsi="Arial" w:cs="Arial"/>
                <w:color w:val="000000"/>
                <w:sz w:val="24"/>
                <w:szCs w:val="24"/>
                <w:lang w:eastAsia="es-AR"/>
              </w:rPr>
              <w:t xml:space="preserve">. </w:t>
            </w:r>
          </w:p>
        </w:tc>
        <w:tc>
          <w:tcPr>
            <w:tcW w:w="3688" w:type="dxa"/>
            <w:tcBorders>
              <w:top w:val="nil"/>
              <w:left w:val="nil"/>
              <w:bottom w:val="single" w:sz="4" w:space="0" w:color="auto"/>
              <w:right w:val="single" w:sz="4" w:space="0" w:color="auto"/>
            </w:tcBorders>
            <w:shd w:val="clear" w:color="auto" w:fill="auto"/>
            <w:noWrap/>
            <w:vAlign w:val="center"/>
            <w:hideMark/>
          </w:tcPr>
          <w:p w14:paraId="64166913" w14:textId="77777777" w:rsidR="000002C0" w:rsidRDefault="000002C0" w:rsidP="009E7555">
            <w:pPr>
              <w:spacing w:after="0" w:line="240" w:lineRule="auto"/>
              <w:rPr>
                <w:rFonts w:ascii="Arial" w:eastAsia="Arial" w:hAnsi="Arial" w:cs="Arial"/>
                <w:sz w:val="24"/>
                <w:szCs w:val="24"/>
                <w:lang w:eastAsia="es-AR"/>
              </w:rPr>
            </w:pPr>
            <w:r w:rsidRPr="000002C0">
              <w:rPr>
                <w:rFonts w:ascii="Arial" w:eastAsia="Arial" w:hAnsi="Arial" w:cs="Arial"/>
                <w:color w:val="000000"/>
                <w:sz w:val="24"/>
                <w:szCs w:val="24"/>
                <w:lang w:eastAsia="es-AR"/>
              </w:rPr>
              <w:t xml:space="preserve">Certificación ISO 14001 </w:t>
            </w:r>
            <w:r w:rsidRPr="009E7555">
              <w:rPr>
                <w:rFonts w:ascii="Arial" w:eastAsia="Arial" w:hAnsi="Arial" w:cs="Arial"/>
                <w:sz w:val="24"/>
                <w:szCs w:val="24"/>
                <w:lang w:eastAsia="es-AR"/>
              </w:rPr>
              <w:t>(</w:t>
            </w:r>
            <w:r w:rsidR="009E7555" w:rsidRPr="009E7555">
              <w:rPr>
                <w:rFonts w:ascii="Arial" w:eastAsia="Arial" w:hAnsi="Arial" w:cs="Arial"/>
                <w:sz w:val="24"/>
                <w:szCs w:val="24"/>
                <w:lang w:eastAsia="es-AR"/>
              </w:rPr>
              <w:t>2,5</w:t>
            </w:r>
            <w:r w:rsidRPr="009E7555">
              <w:rPr>
                <w:rFonts w:ascii="Arial" w:eastAsia="Arial" w:hAnsi="Arial" w:cs="Arial"/>
                <w:sz w:val="24"/>
                <w:szCs w:val="24"/>
                <w:lang w:eastAsia="es-AR"/>
              </w:rPr>
              <w:t>)</w:t>
            </w:r>
          </w:p>
          <w:p w14:paraId="7786BC24" w14:textId="40C413DC" w:rsidR="00265184" w:rsidRPr="000002C0" w:rsidRDefault="00265184" w:rsidP="009E7555">
            <w:pPr>
              <w:spacing w:after="0" w:line="240" w:lineRule="auto"/>
              <w:rPr>
                <w:rFonts w:ascii="Arial" w:eastAsia="Times New Roman" w:hAnsi="Arial" w:cs="Arial"/>
                <w:color w:val="000000"/>
                <w:sz w:val="24"/>
                <w:szCs w:val="24"/>
                <w:lang w:eastAsia="es-AR"/>
              </w:rPr>
            </w:pPr>
            <w:r w:rsidRPr="00265184">
              <w:rPr>
                <w:rFonts w:ascii="Arial" w:eastAsia="Arial" w:hAnsi="Arial" w:cs="Arial"/>
                <w:sz w:val="24"/>
                <w:szCs w:val="24"/>
                <w:lang w:eastAsia="es-AR"/>
              </w:rPr>
              <w:t>Vida útil (5)</w:t>
            </w:r>
          </w:p>
        </w:tc>
        <w:tc>
          <w:tcPr>
            <w:tcW w:w="1280" w:type="dxa"/>
            <w:vMerge/>
            <w:tcBorders>
              <w:top w:val="nil"/>
              <w:left w:val="single" w:sz="4" w:space="0" w:color="auto"/>
              <w:bottom w:val="single" w:sz="4" w:space="0" w:color="000000"/>
              <w:right w:val="single" w:sz="8" w:space="0" w:color="auto"/>
            </w:tcBorders>
            <w:vAlign w:val="center"/>
            <w:hideMark/>
          </w:tcPr>
          <w:p w14:paraId="06ECB7BA" w14:textId="77777777" w:rsidR="000002C0" w:rsidRPr="000002C0" w:rsidRDefault="000002C0" w:rsidP="000002C0">
            <w:pPr>
              <w:spacing w:after="0" w:line="240" w:lineRule="auto"/>
              <w:rPr>
                <w:rFonts w:ascii="Arial" w:eastAsia="Times New Roman" w:hAnsi="Arial" w:cs="Arial"/>
                <w:color w:val="000000"/>
                <w:sz w:val="24"/>
                <w:szCs w:val="24"/>
                <w:lang w:eastAsia="es-AR"/>
              </w:rPr>
            </w:pPr>
          </w:p>
        </w:tc>
      </w:tr>
      <w:tr w:rsidR="000002C0" w:rsidRPr="000002C0" w14:paraId="38984622" w14:textId="77777777" w:rsidTr="000002C0">
        <w:trPr>
          <w:trHeight w:val="420"/>
          <w:jc w:val="center"/>
        </w:trPr>
        <w:tc>
          <w:tcPr>
            <w:tcW w:w="252" w:type="dxa"/>
            <w:tcBorders>
              <w:top w:val="nil"/>
              <w:left w:val="single" w:sz="8" w:space="0" w:color="auto"/>
              <w:bottom w:val="single" w:sz="4" w:space="0" w:color="auto"/>
              <w:right w:val="single" w:sz="4" w:space="0" w:color="auto"/>
            </w:tcBorders>
            <w:shd w:val="clear" w:color="auto" w:fill="auto"/>
            <w:noWrap/>
            <w:vAlign w:val="center"/>
            <w:hideMark/>
          </w:tcPr>
          <w:p w14:paraId="3CF058E0" w14:textId="77777777" w:rsidR="000002C0" w:rsidRPr="000002C0" w:rsidRDefault="000002C0" w:rsidP="000002C0">
            <w:pPr>
              <w:spacing w:after="0" w:line="240" w:lineRule="auto"/>
              <w:jc w:val="center"/>
              <w:rPr>
                <w:rFonts w:ascii="Arial" w:eastAsia="Times New Roman" w:hAnsi="Arial" w:cs="Arial"/>
                <w:b/>
                <w:bCs/>
                <w:color w:val="000000"/>
                <w:sz w:val="24"/>
                <w:szCs w:val="24"/>
                <w:lang w:eastAsia="es-AR"/>
              </w:rPr>
            </w:pPr>
            <w:r w:rsidRPr="000002C0">
              <w:rPr>
                <w:rFonts w:ascii="Arial" w:eastAsia="Times New Roman" w:hAnsi="Arial" w:cs="Arial"/>
                <w:b/>
                <w:bCs/>
                <w:color w:val="000000"/>
                <w:sz w:val="24"/>
                <w:szCs w:val="24"/>
                <w:lang w:eastAsia="es-AR"/>
              </w:rPr>
              <w:t>3</w:t>
            </w:r>
          </w:p>
        </w:tc>
        <w:tc>
          <w:tcPr>
            <w:tcW w:w="3688" w:type="dxa"/>
            <w:tcBorders>
              <w:top w:val="nil"/>
              <w:left w:val="nil"/>
              <w:bottom w:val="single" w:sz="4" w:space="0" w:color="auto"/>
              <w:right w:val="single" w:sz="4" w:space="0" w:color="auto"/>
            </w:tcBorders>
            <w:shd w:val="clear" w:color="auto" w:fill="auto"/>
            <w:noWrap/>
            <w:vAlign w:val="center"/>
            <w:hideMark/>
          </w:tcPr>
          <w:p w14:paraId="6B8E4D55" w14:textId="77777777" w:rsidR="000002C0" w:rsidRPr="000002C0" w:rsidRDefault="000002C0" w:rsidP="000002C0">
            <w:pPr>
              <w:spacing w:after="0" w:line="240" w:lineRule="auto"/>
              <w:rPr>
                <w:rFonts w:ascii="Arial" w:eastAsia="Times New Roman" w:hAnsi="Arial" w:cs="Arial"/>
                <w:b/>
                <w:bCs/>
                <w:color w:val="000000"/>
                <w:sz w:val="24"/>
                <w:szCs w:val="24"/>
                <w:lang w:eastAsia="es-AR"/>
              </w:rPr>
            </w:pPr>
            <w:r w:rsidRPr="000002C0">
              <w:rPr>
                <w:rFonts w:ascii="Arial" w:eastAsia="Times New Roman" w:hAnsi="Arial" w:cs="Arial"/>
                <w:b/>
                <w:bCs/>
                <w:color w:val="000000"/>
                <w:sz w:val="24"/>
                <w:szCs w:val="24"/>
                <w:lang w:eastAsia="es-AR"/>
              </w:rPr>
              <w:t>Plazo de entrega</w:t>
            </w:r>
          </w:p>
        </w:tc>
        <w:tc>
          <w:tcPr>
            <w:tcW w:w="1280" w:type="dxa"/>
            <w:tcBorders>
              <w:top w:val="nil"/>
              <w:left w:val="nil"/>
              <w:bottom w:val="single" w:sz="4" w:space="0" w:color="auto"/>
              <w:right w:val="single" w:sz="8" w:space="0" w:color="auto"/>
            </w:tcBorders>
            <w:shd w:val="clear" w:color="auto" w:fill="auto"/>
            <w:noWrap/>
            <w:vAlign w:val="center"/>
            <w:hideMark/>
          </w:tcPr>
          <w:p w14:paraId="4D39AC6A" w14:textId="77777777" w:rsidR="000002C0" w:rsidRPr="000002C0" w:rsidRDefault="000002C0" w:rsidP="000002C0">
            <w:pPr>
              <w:spacing w:after="0" w:line="240" w:lineRule="auto"/>
              <w:jc w:val="center"/>
              <w:rPr>
                <w:rFonts w:ascii="Arial" w:eastAsia="Times New Roman" w:hAnsi="Arial" w:cs="Arial"/>
                <w:color w:val="000000"/>
                <w:sz w:val="24"/>
                <w:szCs w:val="24"/>
                <w:lang w:eastAsia="es-AR"/>
              </w:rPr>
            </w:pPr>
            <w:r w:rsidRPr="000002C0">
              <w:rPr>
                <w:rFonts w:ascii="Arial" w:eastAsia="Times New Roman" w:hAnsi="Arial" w:cs="Arial"/>
                <w:color w:val="000000"/>
                <w:sz w:val="24"/>
                <w:szCs w:val="24"/>
                <w:lang w:eastAsia="es-AR"/>
              </w:rPr>
              <w:t>5</w:t>
            </w:r>
          </w:p>
        </w:tc>
      </w:tr>
      <w:tr w:rsidR="000002C0" w:rsidRPr="000002C0" w14:paraId="6680EA40" w14:textId="77777777" w:rsidTr="000002C0">
        <w:trPr>
          <w:trHeight w:val="420"/>
          <w:jc w:val="center"/>
        </w:trPr>
        <w:tc>
          <w:tcPr>
            <w:tcW w:w="252" w:type="dxa"/>
            <w:tcBorders>
              <w:top w:val="nil"/>
              <w:left w:val="single" w:sz="8" w:space="0" w:color="auto"/>
              <w:bottom w:val="single" w:sz="4" w:space="0" w:color="auto"/>
              <w:right w:val="single" w:sz="4" w:space="0" w:color="auto"/>
            </w:tcBorders>
            <w:shd w:val="clear" w:color="auto" w:fill="auto"/>
            <w:noWrap/>
            <w:vAlign w:val="center"/>
            <w:hideMark/>
          </w:tcPr>
          <w:p w14:paraId="44C76835" w14:textId="77777777" w:rsidR="000002C0" w:rsidRPr="000002C0" w:rsidRDefault="000002C0" w:rsidP="000002C0">
            <w:pPr>
              <w:spacing w:after="0" w:line="240" w:lineRule="auto"/>
              <w:jc w:val="center"/>
              <w:rPr>
                <w:rFonts w:ascii="Arial" w:eastAsia="Times New Roman" w:hAnsi="Arial" w:cs="Arial"/>
                <w:b/>
                <w:bCs/>
                <w:color w:val="000000"/>
                <w:sz w:val="24"/>
                <w:szCs w:val="24"/>
                <w:lang w:eastAsia="es-AR"/>
              </w:rPr>
            </w:pPr>
            <w:r w:rsidRPr="000002C0">
              <w:rPr>
                <w:rFonts w:ascii="Arial" w:eastAsia="Times New Roman" w:hAnsi="Arial" w:cs="Arial"/>
                <w:b/>
                <w:bCs/>
                <w:color w:val="000000"/>
                <w:sz w:val="24"/>
                <w:szCs w:val="24"/>
                <w:lang w:eastAsia="es-AR"/>
              </w:rPr>
              <w:t>4</w:t>
            </w:r>
          </w:p>
        </w:tc>
        <w:tc>
          <w:tcPr>
            <w:tcW w:w="3688" w:type="dxa"/>
            <w:tcBorders>
              <w:top w:val="nil"/>
              <w:left w:val="nil"/>
              <w:bottom w:val="single" w:sz="4" w:space="0" w:color="auto"/>
              <w:right w:val="single" w:sz="4" w:space="0" w:color="auto"/>
            </w:tcBorders>
            <w:shd w:val="clear" w:color="auto" w:fill="auto"/>
            <w:noWrap/>
            <w:vAlign w:val="center"/>
            <w:hideMark/>
          </w:tcPr>
          <w:p w14:paraId="30F59BA3" w14:textId="77777777" w:rsidR="000002C0" w:rsidRPr="000002C0" w:rsidRDefault="000002C0" w:rsidP="000002C0">
            <w:pPr>
              <w:spacing w:after="0" w:line="240" w:lineRule="auto"/>
              <w:rPr>
                <w:rFonts w:ascii="Arial" w:eastAsia="Times New Roman" w:hAnsi="Arial" w:cs="Arial"/>
                <w:b/>
                <w:bCs/>
                <w:color w:val="000000"/>
                <w:sz w:val="24"/>
                <w:szCs w:val="24"/>
                <w:lang w:eastAsia="es-AR"/>
              </w:rPr>
            </w:pPr>
            <w:r w:rsidRPr="000002C0">
              <w:rPr>
                <w:rFonts w:ascii="Arial" w:eastAsia="Times New Roman" w:hAnsi="Arial" w:cs="Arial"/>
                <w:b/>
                <w:bCs/>
                <w:color w:val="000000"/>
                <w:sz w:val="24"/>
                <w:szCs w:val="24"/>
                <w:lang w:eastAsia="es-AR"/>
              </w:rPr>
              <w:t>Acreditación ODS S/Ley 9193</w:t>
            </w:r>
          </w:p>
        </w:tc>
        <w:tc>
          <w:tcPr>
            <w:tcW w:w="1280" w:type="dxa"/>
            <w:tcBorders>
              <w:top w:val="nil"/>
              <w:left w:val="nil"/>
              <w:bottom w:val="single" w:sz="4" w:space="0" w:color="auto"/>
              <w:right w:val="single" w:sz="8" w:space="0" w:color="auto"/>
            </w:tcBorders>
            <w:shd w:val="clear" w:color="auto" w:fill="auto"/>
            <w:noWrap/>
            <w:vAlign w:val="center"/>
            <w:hideMark/>
          </w:tcPr>
          <w:p w14:paraId="596082A5" w14:textId="77777777" w:rsidR="000002C0" w:rsidRPr="000002C0" w:rsidRDefault="000002C0" w:rsidP="000002C0">
            <w:pPr>
              <w:spacing w:after="0" w:line="240" w:lineRule="auto"/>
              <w:jc w:val="center"/>
              <w:rPr>
                <w:rFonts w:ascii="Arial" w:eastAsia="Times New Roman" w:hAnsi="Arial" w:cs="Arial"/>
                <w:color w:val="000000"/>
                <w:sz w:val="24"/>
                <w:szCs w:val="24"/>
                <w:lang w:eastAsia="es-AR"/>
              </w:rPr>
            </w:pPr>
            <w:r w:rsidRPr="000002C0">
              <w:rPr>
                <w:rFonts w:ascii="Arial" w:eastAsia="Times New Roman" w:hAnsi="Arial" w:cs="Arial"/>
                <w:color w:val="000000"/>
                <w:sz w:val="24"/>
                <w:szCs w:val="24"/>
                <w:lang w:eastAsia="es-AR"/>
              </w:rPr>
              <w:t>10</w:t>
            </w:r>
          </w:p>
        </w:tc>
      </w:tr>
      <w:tr w:rsidR="000002C0" w:rsidRPr="000002C0" w14:paraId="560A5711" w14:textId="77777777" w:rsidTr="000002C0">
        <w:trPr>
          <w:trHeight w:val="420"/>
          <w:jc w:val="center"/>
        </w:trPr>
        <w:tc>
          <w:tcPr>
            <w:tcW w:w="252" w:type="dxa"/>
            <w:tcBorders>
              <w:top w:val="nil"/>
              <w:left w:val="single" w:sz="8" w:space="0" w:color="auto"/>
              <w:bottom w:val="nil"/>
              <w:right w:val="single" w:sz="4" w:space="0" w:color="auto"/>
            </w:tcBorders>
            <w:shd w:val="clear" w:color="auto" w:fill="auto"/>
            <w:noWrap/>
            <w:vAlign w:val="center"/>
            <w:hideMark/>
          </w:tcPr>
          <w:p w14:paraId="7AA7922E" w14:textId="77777777" w:rsidR="000002C0" w:rsidRPr="000002C0" w:rsidRDefault="000002C0" w:rsidP="000002C0">
            <w:pPr>
              <w:spacing w:after="0" w:line="240" w:lineRule="auto"/>
              <w:jc w:val="center"/>
              <w:rPr>
                <w:rFonts w:ascii="Arial" w:eastAsia="Times New Roman" w:hAnsi="Arial" w:cs="Arial"/>
                <w:b/>
                <w:bCs/>
                <w:color w:val="000000"/>
                <w:sz w:val="24"/>
                <w:szCs w:val="24"/>
                <w:lang w:eastAsia="es-AR"/>
              </w:rPr>
            </w:pPr>
            <w:r w:rsidRPr="000002C0">
              <w:rPr>
                <w:rFonts w:ascii="Arial" w:eastAsia="Times New Roman" w:hAnsi="Arial" w:cs="Arial"/>
                <w:b/>
                <w:bCs/>
                <w:color w:val="000000"/>
                <w:sz w:val="24"/>
                <w:szCs w:val="24"/>
                <w:lang w:eastAsia="es-AR"/>
              </w:rPr>
              <w:t>5</w:t>
            </w:r>
          </w:p>
        </w:tc>
        <w:tc>
          <w:tcPr>
            <w:tcW w:w="3688" w:type="dxa"/>
            <w:tcBorders>
              <w:top w:val="nil"/>
              <w:left w:val="nil"/>
              <w:bottom w:val="nil"/>
              <w:right w:val="single" w:sz="4" w:space="0" w:color="auto"/>
            </w:tcBorders>
            <w:shd w:val="clear" w:color="auto" w:fill="auto"/>
            <w:noWrap/>
            <w:vAlign w:val="center"/>
            <w:hideMark/>
          </w:tcPr>
          <w:p w14:paraId="099FF55C" w14:textId="77777777" w:rsidR="000002C0" w:rsidRPr="000002C0" w:rsidRDefault="000002C0" w:rsidP="000002C0">
            <w:pPr>
              <w:spacing w:after="0" w:line="240" w:lineRule="auto"/>
              <w:rPr>
                <w:rFonts w:ascii="Arial" w:eastAsia="Times New Roman" w:hAnsi="Arial" w:cs="Arial"/>
                <w:b/>
                <w:bCs/>
                <w:color w:val="000000"/>
                <w:sz w:val="24"/>
                <w:szCs w:val="24"/>
                <w:lang w:eastAsia="es-AR"/>
              </w:rPr>
            </w:pPr>
            <w:r w:rsidRPr="000002C0">
              <w:rPr>
                <w:rFonts w:ascii="Arial" w:eastAsia="Times New Roman" w:hAnsi="Arial" w:cs="Arial"/>
                <w:b/>
                <w:bCs/>
                <w:color w:val="000000"/>
                <w:sz w:val="24"/>
                <w:szCs w:val="24"/>
                <w:lang w:eastAsia="es-AR"/>
              </w:rPr>
              <w:t>Oferta económica - Precio</w:t>
            </w:r>
          </w:p>
        </w:tc>
        <w:tc>
          <w:tcPr>
            <w:tcW w:w="1280" w:type="dxa"/>
            <w:tcBorders>
              <w:top w:val="nil"/>
              <w:left w:val="nil"/>
              <w:bottom w:val="nil"/>
              <w:right w:val="single" w:sz="8" w:space="0" w:color="auto"/>
            </w:tcBorders>
            <w:shd w:val="clear" w:color="auto" w:fill="auto"/>
            <w:noWrap/>
            <w:vAlign w:val="center"/>
            <w:hideMark/>
          </w:tcPr>
          <w:p w14:paraId="58948DA2" w14:textId="77777777" w:rsidR="000002C0" w:rsidRPr="000002C0" w:rsidRDefault="000002C0" w:rsidP="000002C0">
            <w:pPr>
              <w:spacing w:after="0" w:line="240" w:lineRule="auto"/>
              <w:jc w:val="center"/>
              <w:rPr>
                <w:rFonts w:ascii="Arial" w:eastAsia="Times New Roman" w:hAnsi="Arial" w:cs="Arial"/>
                <w:color w:val="000000"/>
                <w:sz w:val="24"/>
                <w:szCs w:val="24"/>
                <w:lang w:eastAsia="es-AR"/>
              </w:rPr>
            </w:pPr>
            <w:r w:rsidRPr="000002C0">
              <w:rPr>
                <w:rFonts w:ascii="Arial" w:eastAsia="Times New Roman" w:hAnsi="Arial" w:cs="Arial"/>
                <w:color w:val="000000"/>
                <w:sz w:val="24"/>
                <w:szCs w:val="24"/>
                <w:lang w:eastAsia="es-AR"/>
              </w:rPr>
              <w:t>50</w:t>
            </w:r>
          </w:p>
        </w:tc>
      </w:tr>
      <w:tr w:rsidR="000002C0" w:rsidRPr="000002C0" w14:paraId="5FE74CF5" w14:textId="77777777" w:rsidTr="000002C0">
        <w:trPr>
          <w:trHeight w:val="420"/>
          <w:jc w:val="center"/>
        </w:trPr>
        <w:tc>
          <w:tcPr>
            <w:tcW w:w="394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BB117F" w14:textId="77777777" w:rsidR="000002C0" w:rsidRPr="000002C0" w:rsidRDefault="000002C0" w:rsidP="000002C0">
            <w:pPr>
              <w:spacing w:after="0" w:line="240" w:lineRule="auto"/>
              <w:jc w:val="center"/>
              <w:rPr>
                <w:rFonts w:ascii="Arial" w:eastAsia="Times New Roman" w:hAnsi="Arial" w:cs="Arial"/>
                <w:b/>
                <w:bCs/>
                <w:color w:val="000000"/>
                <w:sz w:val="24"/>
                <w:szCs w:val="24"/>
                <w:lang w:eastAsia="es-AR"/>
              </w:rPr>
            </w:pPr>
            <w:r w:rsidRPr="000002C0">
              <w:rPr>
                <w:rFonts w:ascii="Arial" w:eastAsia="Times New Roman" w:hAnsi="Arial" w:cs="Arial"/>
                <w:b/>
                <w:bCs/>
                <w:color w:val="000000"/>
                <w:sz w:val="24"/>
                <w:szCs w:val="24"/>
                <w:lang w:eastAsia="es-AR"/>
              </w:rPr>
              <w:t>TOTAL</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14:paraId="549B2BAC" w14:textId="77777777" w:rsidR="000002C0" w:rsidRPr="000002C0" w:rsidRDefault="000002C0" w:rsidP="000002C0">
            <w:pPr>
              <w:spacing w:after="0" w:line="240" w:lineRule="auto"/>
              <w:jc w:val="center"/>
              <w:rPr>
                <w:rFonts w:ascii="Arial" w:eastAsia="Times New Roman" w:hAnsi="Arial" w:cs="Arial"/>
                <w:b/>
                <w:bCs/>
                <w:color w:val="000000"/>
                <w:sz w:val="24"/>
                <w:szCs w:val="24"/>
                <w:lang w:eastAsia="es-AR"/>
              </w:rPr>
            </w:pPr>
            <w:r w:rsidRPr="000002C0">
              <w:rPr>
                <w:rFonts w:ascii="Arial" w:eastAsia="Times New Roman" w:hAnsi="Arial" w:cs="Arial"/>
                <w:b/>
                <w:bCs/>
                <w:color w:val="000000"/>
                <w:sz w:val="24"/>
                <w:szCs w:val="24"/>
                <w:lang w:eastAsia="es-AR"/>
              </w:rPr>
              <w:t>100</w:t>
            </w:r>
          </w:p>
        </w:tc>
      </w:tr>
    </w:tbl>
    <w:p w14:paraId="4D459E84" w14:textId="77777777" w:rsidR="000068BC" w:rsidRPr="005734C2" w:rsidRDefault="000068BC" w:rsidP="001D6FB0">
      <w:pPr>
        <w:spacing w:after="0" w:line="360" w:lineRule="auto"/>
        <w:jc w:val="both"/>
        <w:rPr>
          <w:rFonts w:ascii="Arial" w:hAnsi="Arial" w:cs="Arial"/>
          <w:b/>
          <w:sz w:val="24"/>
          <w:szCs w:val="24"/>
          <w:u w:val="single"/>
        </w:rPr>
      </w:pPr>
    </w:p>
    <w:p w14:paraId="016FE34F" w14:textId="77777777" w:rsidR="001D6FB0" w:rsidRPr="005734C2" w:rsidRDefault="001D6FB0" w:rsidP="001D6FB0">
      <w:pPr>
        <w:spacing w:after="0" w:line="360" w:lineRule="auto"/>
        <w:jc w:val="both"/>
        <w:rPr>
          <w:rFonts w:ascii="Arial" w:hAnsi="Arial" w:cs="Arial"/>
          <w:b/>
          <w:sz w:val="24"/>
          <w:szCs w:val="24"/>
          <w:u w:val="single"/>
        </w:rPr>
      </w:pPr>
    </w:p>
    <w:p w14:paraId="3C700479" w14:textId="6EBB95B4" w:rsidR="003B5365" w:rsidRPr="005734C2" w:rsidRDefault="003728EC" w:rsidP="00DD277C">
      <w:pPr>
        <w:pStyle w:val="Subttulo"/>
        <w:numPr>
          <w:ilvl w:val="0"/>
          <w:numId w:val="17"/>
        </w:numPr>
        <w:tabs>
          <w:tab w:val="left" w:pos="284"/>
        </w:tabs>
        <w:spacing w:line="360" w:lineRule="auto"/>
        <w:ind w:left="308"/>
        <w:rPr>
          <w:rFonts w:ascii="Arial" w:eastAsia="Times New Roman" w:hAnsi="Arial" w:cs="Arial"/>
          <w:b/>
          <w:i w:val="0"/>
          <w:u w:val="single"/>
        </w:rPr>
      </w:pPr>
      <w:r w:rsidRPr="005734C2">
        <w:rPr>
          <w:rFonts w:ascii="Arial" w:eastAsia="Times New Roman" w:hAnsi="Arial" w:cs="Arial"/>
          <w:b/>
          <w:i w:val="0"/>
          <w:u w:val="single"/>
        </w:rPr>
        <w:t>ANTECEDENTES</w:t>
      </w:r>
      <w:r w:rsidR="00893A72">
        <w:rPr>
          <w:rFonts w:ascii="Arial" w:eastAsia="Times New Roman" w:hAnsi="Arial" w:cs="Arial"/>
          <w:b/>
          <w:i w:val="0"/>
          <w:u w:val="single"/>
        </w:rPr>
        <w:t xml:space="preserve"> CONTRACTUALES:</w:t>
      </w:r>
    </w:p>
    <w:p w14:paraId="30686755" w14:textId="14B2F725" w:rsidR="00C900A9" w:rsidRPr="005734C2" w:rsidRDefault="00C900A9" w:rsidP="00893A72">
      <w:pPr>
        <w:pStyle w:val="Prrafodelista"/>
        <w:tabs>
          <w:tab w:val="left" w:pos="284"/>
        </w:tabs>
        <w:spacing w:after="0" w:line="360" w:lineRule="auto"/>
        <w:ind w:left="308"/>
        <w:jc w:val="both"/>
        <w:rPr>
          <w:rFonts w:ascii="Arial" w:eastAsia="Arial" w:hAnsi="Arial" w:cs="Arial"/>
          <w:sz w:val="24"/>
          <w:szCs w:val="24"/>
        </w:rPr>
      </w:pPr>
      <w:r w:rsidRPr="005734C2">
        <w:rPr>
          <w:rFonts w:ascii="Arial" w:eastAsia="Arial" w:hAnsi="Arial" w:cs="Arial"/>
          <w:sz w:val="24"/>
          <w:szCs w:val="24"/>
        </w:rPr>
        <w:t>Se calificará c</w:t>
      </w:r>
      <w:r w:rsidR="00542084" w:rsidRPr="005734C2">
        <w:rPr>
          <w:rFonts w:ascii="Arial" w:eastAsia="Arial" w:hAnsi="Arial" w:cs="Arial"/>
          <w:sz w:val="24"/>
          <w:szCs w:val="24"/>
        </w:rPr>
        <w:t>on el máximo puntaje previsto (10</w:t>
      </w:r>
      <w:r w:rsidRPr="005734C2">
        <w:rPr>
          <w:rFonts w:ascii="Arial" w:eastAsia="Arial" w:hAnsi="Arial" w:cs="Arial"/>
          <w:sz w:val="24"/>
          <w:szCs w:val="24"/>
        </w:rPr>
        <w:t>) a los oferentes que no posean antecedentes en el Registro Único de Proveedores de Mendoza, de penalidades o sanciones aplicadas dentro del año calendario anterior a la fecha de apertura de ofertas. En caso de oferentes que no posean en el Registro Único de Proveedores una inscripción vigente en dicho período, también serán cali</w:t>
      </w:r>
      <w:r w:rsidR="00542084" w:rsidRPr="005734C2">
        <w:rPr>
          <w:rFonts w:ascii="Arial" w:eastAsia="Arial" w:hAnsi="Arial" w:cs="Arial"/>
          <w:sz w:val="24"/>
          <w:szCs w:val="24"/>
        </w:rPr>
        <w:t>ficados con el máximo puntaje (10</w:t>
      </w:r>
      <w:r w:rsidRPr="005734C2">
        <w:rPr>
          <w:rFonts w:ascii="Arial" w:eastAsia="Arial" w:hAnsi="Arial" w:cs="Arial"/>
          <w:sz w:val="24"/>
          <w:szCs w:val="24"/>
        </w:rPr>
        <w:t xml:space="preserve"> puntos), salvo que posean sanciones impuestas en el mismo plazo por organismos y/o registros de proveedores de otras jurisdicciones (Nacional, Provincial, Municipal). Se calificará con 3 puntos a los oferentes que posean sanciones de apercibimiento dentro del año calendario anterior a la fecha de apertura de ofertas, inscriptas en el Registro Único de Proveedores de Mendoza u otros de otra jurisdicción Nacional, Provincial o Municipal. Se calificará también con 3 puntos a los oferentes que, no registrando sanciones mediante procedimientos </w:t>
      </w:r>
      <w:r w:rsidRPr="005734C2">
        <w:rPr>
          <w:rFonts w:ascii="Arial" w:eastAsia="Arial" w:hAnsi="Arial" w:cs="Arial"/>
          <w:sz w:val="24"/>
          <w:szCs w:val="24"/>
        </w:rPr>
        <w:lastRenderedPageBreak/>
        <w:t>formales, tuvieren antecedentes documentados de prestación “no satisfactoria” del servicio. 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14:paraId="3050F0DC" w14:textId="0C08FE26" w:rsidR="00C900A9" w:rsidRDefault="00C900A9" w:rsidP="00DD277C">
      <w:pPr>
        <w:tabs>
          <w:tab w:val="left" w:pos="284"/>
        </w:tabs>
        <w:spacing w:after="0" w:line="360" w:lineRule="auto"/>
        <w:ind w:left="308"/>
        <w:jc w:val="both"/>
        <w:rPr>
          <w:rFonts w:ascii="Arial" w:eastAsia="Arial" w:hAnsi="Arial" w:cs="Arial"/>
          <w:b/>
          <w:sz w:val="24"/>
          <w:szCs w:val="24"/>
        </w:rPr>
      </w:pPr>
      <w:r w:rsidRPr="005734C2">
        <w:rPr>
          <w:rFonts w:ascii="Arial" w:eastAsia="Arial" w:hAnsi="Arial" w:cs="Arial"/>
          <w:b/>
          <w:sz w:val="24"/>
          <w:szCs w:val="24"/>
        </w:rPr>
        <w:t>A los efectos de la evaluación se considerará la información publicada por el Registro Único de Proveedores Provincial y demás Organismos que administren dichos datos a nivel Nacional, Provincial y Municipal.</w:t>
      </w:r>
    </w:p>
    <w:p w14:paraId="500AB4A5" w14:textId="77777777" w:rsidR="00771587" w:rsidRPr="005734C2" w:rsidRDefault="00771587" w:rsidP="00DD277C">
      <w:pPr>
        <w:tabs>
          <w:tab w:val="left" w:pos="284"/>
        </w:tabs>
        <w:spacing w:after="0" w:line="360" w:lineRule="auto"/>
        <w:ind w:left="308"/>
        <w:jc w:val="both"/>
        <w:rPr>
          <w:rFonts w:ascii="Arial" w:eastAsia="Arial" w:hAnsi="Arial" w:cs="Arial"/>
          <w:b/>
          <w:sz w:val="24"/>
          <w:szCs w:val="24"/>
        </w:rPr>
      </w:pPr>
    </w:p>
    <w:p w14:paraId="35AF8693" w14:textId="5A0ACBFD" w:rsidR="003B5365" w:rsidRPr="005734C2" w:rsidRDefault="00771587" w:rsidP="00DD277C">
      <w:pPr>
        <w:pStyle w:val="Subttulo"/>
        <w:numPr>
          <w:ilvl w:val="0"/>
          <w:numId w:val="17"/>
        </w:numPr>
        <w:tabs>
          <w:tab w:val="left" w:pos="284"/>
        </w:tabs>
        <w:spacing w:line="360" w:lineRule="auto"/>
        <w:ind w:left="308"/>
        <w:rPr>
          <w:rFonts w:ascii="Arial" w:eastAsia="Times New Roman" w:hAnsi="Arial" w:cs="Arial"/>
          <w:b/>
          <w:i w:val="0"/>
          <w:u w:val="single"/>
        </w:rPr>
      </w:pPr>
      <w:r>
        <w:rPr>
          <w:rFonts w:ascii="Arial" w:eastAsia="Times New Roman" w:hAnsi="Arial" w:cs="Arial"/>
          <w:b/>
          <w:i w:val="0"/>
          <w:u w:val="single"/>
        </w:rPr>
        <w:t>INDICADORES DE CALIDAD</w:t>
      </w:r>
    </w:p>
    <w:p w14:paraId="29CA73E5" w14:textId="3344F493" w:rsidR="003B5365" w:rsidRPr="009E7555" w:rsidRDefault="003B5365" w:rsidP="00DD277C">
      <w:pPr>
        <w:pStyle w:val="Prrafodelista"/>
        <w:numPr>
          <w:ilvl w:val="0"/>
          <w:numId w:val="19"/>
        </w:numPr>
        <w:tabs>
          <w:tab w:val="left" w:pos="284"/>
        </w:tabs>
        <w:spacing w:after="0" w:line="360" w:lineRule="auto"/>
        <w:ind w:left="308"/>
        <w:jc w:val="both"/>
        <w:rPr>
          <w:rFonts w:ascii="Arial" w:hAnsi="Arial" w:cs="Arial"/>
          <w:sz w:val="24"/>
          <w:szCs w:val="24"/>
          <w:lang w:eastAsia="ar-SA"/>
        </w:rPr>
      </w:pPr>
      <w:r w:rsidRPr="009E7555">
        <w:rPr>
          <w:rFonts w:ascii="Arial" w:hAnsi="Arial" w:cs="Arial"/>
          <w:b/>
          <w:sz w:val="24"/>
          <w:szCs w:val="24"/>
          <w:lang w:eastAsia="ar-SA"/>
        </w:rPr>
        <w:t>Procedencia:</w:t>
      </w:r>
      <w:r w:rsidRPr="009E7555">
        <w:rPr>
          <w:rFonts w:ascii="Arial" w:hAnsi="Arial" w:cs="Arial"/>
          <w:sz w:val="24"/>
          <w:szCs w:val="24"/>
          <w:lang w:eastAsia="ar-SA"/>
        </w:rPr>
        <w:t xml:space="preserve"> se les asignará </w:t>
      </w:r>
      <w:r w:rsidR="00771587" w:rsidRPr="009E7555">
        <w:rPr>
          <w:rFonts w:ascii="Arial" w:hAnsi="Arial" w:cs="Arial"/>
          <w:sz w:val="24"/>
          <w:szCs w:val="24"/>
          <w:lang w:eastAsia="ar-SA"/>
        </w:rPr>
        <w:t>5 puntos</w:t>
      </w:r>
      <w:r w:rsidR="007126EC" w:rsidRPr="009E7555">
        <w:rPr>
          <w:rFonts w:ascii="Arial" w:hAnsi="Arial" w:cs="Arial"/>
          <w:sz w:val="24"/>
          <w:szCs w:val="24"/>
          <w:lang w:eastAsia="ar-SA"/>
        </w:rPr>
        <w:t xml:space="preserve"> </w:t>
      </w:r>
      <w:r w:rsidRPr="009E7555">
        <w:rPr>
          <w:rFonts w:ascii="Arial" w:hAnsi="Arial" w:cs="Arial"/>
          <w:sz w:val="24"/>
          <w:szCs w:val="24"/>
          <w:lang w:eastAsia="ar-SA"/>
        </w:rPr>
        <w:t xml:space="preserve">a las ofertas que </w:t>
      </w:r>
      <w:r w:rsidR="007126EC" w:rsidRPr="009E7555">
        <w:rPr>
          <w:rFonts w:ascii="Arial" w:hAnsi="Arial" w:cs="Arial"/>
          <w:sz w:val="24"/>
          <w:szCs w:val="24"/>
          <w:lang w:eastAsia="ar-SA"/>
        </w:rPr>
        <w:t>coticen cartuchos</w:t>
      </w:r>
      <w:r w:rsidRPr="009E7555">
        <w:rPr>
          <w:rFonts w:ascii="Arial" w:hAnsi="Arial" w:cs="Arial"/>
          <w:sz w:val="24"/>
          <w:szCs w:val="24"/>
          <w:lang w:eastAsia="ar-SA"/>
        </w:rPr>
        <w:t xml:space="preserve"> </w:t>
      </w:r>
      <w:r w:rsidR="000700B8" w:rsidRPr="009E7555">
        <w:rPr>
          <w:rFonts w:ascii="Arial" w:hAnsi="Arial" w:cs="Arial"/>
          <w:sz w:val="24"/>
          <w:szCs w:val="24"/>
          <w:lang w:eastAsia="ar-SA"/>
        </w:rPr>
        <w:t>de tóner</w:t>
      </w:r>
      <w:r w:rsidR="009E7555" w:rsidRPr="009E7555">
        <w:rPr>
          <w:rFonts w:ascii="Arial" w:hAnsi="Arial" w:cs="Arial"/>
          <w:sz w:val="24"/>
          <w:szCs w:val="24"/>
          <w:lang w:eastAsia="ar-SA"/>
        </w:rPr>
        <w:t>,</w:t>
      </w:r>
      <w:r w:rsidR="000700B8" w:rsidRPr="009E7555">
        <w:rPr>
          <w:rFonts w:ascii="Arial" w:hAnsi="Arial" w:cs="Arial"/>
          <w:sz w:val="24"/>
          <w:szCs w:val="24"/>
          <w:lang w:eastAsia="ar-SA"/>
        </w:rPr>
        <w:t xml:space="preserve"> </w:t>
      </w:r>
      <w:r w:rsidR="009E7555" w:rsidRPr="009E7555">
        <w:rPr>
          <w:rFonts w:ascii="Arial" w:hAnsi="Arial" w:cs="Arial"/>
          <w:sz w:val="24"/>
          <w:szCs w:val="24"/>
          <w:lang w:eastAsia="ar-SA"/>
        </w:rPr>
        <w:t xml:space="preserve">tanto sean </w:t>
      </w:r>
      <w:r w:rsidRPr="009E7555">
        <w:rPr>
          <w:rFonts w:ascii="Arial" w:hAnsi="Arial" w:cs="Arial"/>
          <w:sz w:val="24"/>
          <w:szCs w:val="24"/>
          <w:lang w:eastAsia="ar-SA"/>
        </w:rPr>
        <w:t>originales</w:t>
      </w:r>
      <w:r w:rsidR="001D38B0" w:rsidRPr="009E7555">
        <w:rPr>
          <w:rFonts w:ascii="Arial" w:hAnsi="Arial" w:cs="Arial"/>
          <w:sz w:val="24"/>
          <w:szCs w:val="24"/>
          <w:lang w:eastAsia="ar-SA"/>
        </w:rPr>
        <w:t xml:space="preserve"> u OEM</w:t>
      </w:r>
      <w:r w:rsidRPr="009E7555">
        <w:rPr>
          <w:rFonts w:ascii="Arial" w:hAnsi="Arial" w:cs="Arial"/>
          <w:sz w:val="24"/>
          <w:szCs w:val="24"/>
          <w:lang w:eastAsia="ar-SA"/>
        </w:rPr>
        <w:t xml:space="preserve">. </w:t>
      </w:r>
      <w:r w:rsidR="000700B8" w:rsidRPr="009E7555">
        <w:rPr>
          <w:rFonts w:ascii="Arial" w:hAnsi="Arial" w:cs="Arial"/>
          <w:sz w:val="24"/>
          <w:szCs w:val="24"/>
          <w:lang w:eastAsia="ar-SA"/>
        </w:rPr>
        <w:t xml:space="preserve">Las </w:t>
      </w:r>
      <w:r w:rsidRPr="009E7555">
        <w:rPr>
          <w:rFonts w:ascii="Arial" w:hAnsi="Arial" w:cs="Arial"/>
          <w:sz w:val="24"/>
          <w:szCs w:val="24"/>
          <w:lang w:eastAsia="ar-SA"/>
        </w:rPr>
        <w:t xml:space="preserve">ofertas que </w:t>
      </w:r>
      <w:r w:rsidR="000700B8" w:rsidRPr="009E7555">
        <w:rPr>
          <w:rFonts w:ascii="Arial" w:hAnsi="Arial" w:cs="Arial"/>
          <w:sz w:val="24"/>
          <w:szCs w:val="24"/>
          <w:lang w:eastAsia="ar-SA"/>
        </w:rPr>
        <w:t>coticen</w:t>
      </w:r>
      <w:r w:rsidRPr="009E7555">
        <w:rPr>
          <w:rFonts w:ascii="Arial" w:hAnsi="Arial" w:cs="Arial"/>
          <w:sz w:val="24"/>
          <w:szCs w:val="24"/>
          <w:lang w:eastAsia="ar-SA"/>
        </w:rPr>
        <w:t xml:space="preserve"> </w:t>
      </w:r>
      <w:r w:rsidR="000700B8" w:rsidRPr="009E7555">
        <w:rPr>
          <w:rFonts w:ascii="Arial" w:hAnsi="Arial" w:cs="Arial"/>
          <w:sz w:val="24"/>
          <w:szCs w:val="24"/>
          <w:lang w:eastAsia="ar-SA"/>
        </w:rPr>
        <w:t>cartuchos</w:t>
      </w:r>
      <w:r w:rsidRPr="009E7555">
        <w:rPr>
          <w:rFonts w:ascii="Arial" w:hAnsi="Arial" w:cs="Arial"/>
          <w:sz w:val="24"/>
          <w:szCs w:val="24"/>
          <w:lang w:eastAsia="ar-SA"/>
        </w:rPr>
        <w:t xml:space="preserve"> </w:t>
      </w:r>
      <w:r w:rsidR="00771587" w:rsidRPr="009E7555">
        <w:rPr>
          <w:rFonts w:ascii="Arial" w:hAnsi="Arial" w:cs="Arial"/>
          <w:sz w:val="24"/>
          <w:szCs w:val="24"/>
          <w:lang w:eastAsia="ar-SA"/>
        </w:rPr>
        <w:t xml:space="preserve">de tóner </w:t>
      </w:r>
      <w:r w:rsidR="00317198" w:rsidRPr="009E7555">
        <w:rPr>
          <w:rFonts w:ascii="Arial" w:hAnsi="Arial" w:cs="Arial"/>
          <w:sz w:val="24"/>
          <w:szCs w:val="24"/>
          <w:lang w:eastAsia="ar-SA"/>
        </w:rPr>
        <w:t xml:space="preserve">compatibles y/o </w:t>
      </w:r>
      <w:r w:rsidRPr="009E7555">
        <w:rPr>
          <w:rFonts w:ascii="Arial" w:hAnsi="Arial" w:cs="Arial"/>
          <w:sz w:val="24"/>
          <w:szCs w:val="24"/>
          <w:lang w:eastAsia="ar-SA"/>
        </w:rPr>
        <w:t>alternativos</w:t>
      </w:r>
      <w:r w:rsidR="00C900A9" w:rsidRPr="009E7555">
        <w:rPr>
          <w:rFonts w:ascii="Arial" w:hAnsi="Arial" w:cs="Arial"/>
          <w:sz w:val="24"/>
          <w:szCs w:val="24"/>
          <w:lang w:eastAsia="ar-SA"/>
        </w:rPr>
        <w:t>, se</w:t>
      </w:r>
      <w:r w:rsidR="00542084" w:rsidRPr="009E7555">
        <w:rPr>
          <w:rFonts w:ascii="Arial" w:hAnsi="Arial" w:cs="Arial"/>
          <w:sz w:val="24"/>
          <w:szCs w:val="24"/>
          <w:lang w:eastAsia="ar-SA"/>
        </w:rPr>
        <w:t xml:space="preserve"> l</w:t>
      </w:r>
      <w:r w:rsidR="000700B8" w:rsidRPr="009E7555">
        <w:rPr>
          <w:rFonts w:ascii="Arial" w:hAnsi="Arial" w:cs="Arial"/>
          <w:sz w:val="24"/>
          <w:szCs w:val="24"/>
          <w:lang w:eastAsia="ar-SA"/>
        </w:rPr>
        <w:t>es asignarán 2,5 punto</w:t>
      </w:r>
      <w:r w:rsidR="00771587" w:rsidRPr="009E7555">
        <w:rPr>
          <w:rFonts w:ascii="Arial" w:hAnsi="Arial" w:cs="Arial"/>
          <w:sz w:val="24"/>
          <w:szCs w:val="24"/>
          <w:lang w:eastAsia="ar-SA"/>
        </w:rPr>
        <w:t>s</w:t>
      </w:r>
      <w:r w:rsidR="000700B8" w:rsidRPr="009E7555">
        <w:rPr>
          <w:rFonts w:ascii="Arial" w:hAnsi="Arial" w:cs="Arial"/>
          <w:sz w:val="24"/>
          <w:szCs w:val="24"/>
          <w:lang w:eastAsia="ar-SA"/>
        </w:rPr>
        <w:t>.</w:t>
      </w:r>
    </w:p>
    <w:p w14:paraId="56CCDE66" w14:textId="0DBE42EC" w:rsidR="003B5365" w:rsidRDefault="00DE163F" w:rsidP="00DD277C">
      <w:pPr>
        <w:pStyle w:val="Prrafodelista"/>
        <w:numPr>
          <w:ilvl w:val="0"/>
          <w:numId w:val="19"/>
        </w:numPr>
        <w:tabs>
          <w:tab w:val="left" w:pos="284"/>
        </w:tabs>
        <w:spacing w:after="0" w:line="360" w:lineRule="auto"/>
        <w:ind w:left="308"/>
        <w:jc w:val="both"/>
        <w:rPr>
          <w:rFonts w:ascii="Arial" w:hAnsi="Arial" w:cs="Arial"/>
          <w:sz w:val="24"/>
          <w:szCs w:val="24"/>
          <w:lang w:eastAsia="ar-SA"/>
        </w:rPr>
      </w:pPr>
      <w:r w:rsidRPr="00893A72">
        <w:rPr>
          <w:rFonts w:ascii="Arial" w:hAnsi="Arial" w:cs="Arial"/>
          <w:b/>
          <w:sz w:val="24"/>
          <w:szCs w:val="24"/>
          <w:lang w:eastAsia="ar-SA"/>
        </w:rPr>
        <w:t>Rendimiento</w:t>
      </w:r>
      <w:r w:rsidR="00FC1B65">
        <w:rPr>
          <w:rFonts w:ascii="Arial" w:hAnsi="Arial" w:cs="Arial"/>
          <w:b/>
          <w:sz w:val="24"/>
          <w:szCs w:val="24"/>
          <w:lang w:eastAsia="ar-SA"/>
        </w:rPr>
        <w:t xml:space="preserve"> en cantidad de páginas de impresión:</w:t>
      </w:r>
      <w:r w:rsidR="003B5365" w:rsidRPr="00771587">
        <w:rPr>
          <w:rFonts w:ascii="Arial" w:hAnsi="Arial" w:cs="Arial"/>
          <w:sz w:val="24"/>
          <w:szCs w:val="24"/>
          <w:lang w:eastAsia="ar-SA"/>
        </w:rPr>
        <w:t xml:space="preserve"> </w:t>
      </w:r>
      <w:r w:rsidR="007126EC" w:rsidRPr="00893A72">
        <w:rPr>
          <w:rFonts w:ascii="Arial" w:hAnsi="Arial" w:cs="Arial"/>
          <w:sz w:val="24"/>
          <w:szCs w:val="24"/>
          <w:lang w:eastAsia="ar-SA"/>
        </w:rPr>
        <w:t>se</w:t>
      </w:r>
      <w:r w:rsidR="007126EC" w:rsidRPr="007126EC">
        <w:rPr>
          <w:rFonts w:ascii="Arial" w:hAnsi="Arial" w:cs="Arial"/>
          <w:sz w:val="24"/>
          <w:szCs w:val="24"/>
          <w:lang w:eastAsia="ar-SA"/>
        </w:rPr>
        <w:t xml:space="preserve"> le</w:t>
      </w:r>
      <w:r w:rsidR="007126EC">
        <w:rPr>
          <w:rFonts w:ascii="Arial" w:hAnsi="Arial" w:cs="Arial"/>
          <w:sz w:val="24"/>
          <w:szCs w:val="24"/>
          <w:lang w:eastAsia="ar-SA"/>
        </w:rPr>
        <w:t>s</w:t>
      </w:r>
      <w:r w:rsidR="007126EC" w:rsidRPr="007126EC">
        <w:rPr>
          <w:rFonts w:ascii="Arial" w:hAnsi="Arial" w:cs="Arial"/>
          <w:sz w:val="24"/>
          <w:szCs w:val="24"/>
          <w:lang w:eastAsia="ar-SA"/>
        </w:rPr>
        <w:t xml:space="preserve"> asignará el máximo puntaje (2) a las ofertas que coticen </w:t>
      </w:r>
      <w:r w:rsidR="003B5365" w:rsidRPr="005734C2">
        <w:rPr>
          <w:rFonts w:ascii="Arial" w:hAnsi="Arial" w:cs="Arial"/>
          <w:sz w:val="24"/>
          <w:szCs w:val="24"/>
          <w:lang w:eastAsia="ar-SA"/>
        </w:rPr>
        <w:t>cartuchos</w:t>
      </w:r>
      <w:r w:rsidR="00FC1B65">
        <w:rPr>
          <w:rFonts w:ascii="Arial" w:hAnsi="Arial" w:cs="Arial"/>
          <w:sz w:val="24"/>
          <w:szCs w:val="24"/>
          <w:lang w:eastAsia="ar-SA"/>
        </w:rPr>
        <w:t xml:space="preserve"> de tóner</w:t>
      </w:r>
      <w:r w:rsidR="003B5365" w:rsidRPr="005734C2">
        <w:rPr>
          <w:rFonts w:ascii="Arial" w:hAnsi="Arial" w:cs="Arial"/>
          <w:sz w:val="24"/>
          <w:szCs w:val="24"/>
          <w:lang w:eastAsia="ar-SA"/>
        </w:rPr>
        <w:t xml:space="preserve"> que permitan imprimir la </w:t>
      </w:r>
      <w:r w:rsidR="007126EC">
        <w:rPr>
          <w:rFonts w:ascii="Arial" w:hAnsi="Arial" w:cs="Arial"/>
          <w:sz w:val="24"/>
          <w:szCs w:val="24"/>
          <w:lang w:eastAsia="ar-SA"/>
        </w:rPr>
        <w:t>mayor</w:t>
      </w:r>
      <w:r w:rsidR="003B5365" w:rsidRPr="005734C2">
        <w:rPr>
          <w:rFonts w:ascii="Arial" w:hAnsi="Arial" w:cs="Arial"/>
          <w:sz w:val="24"/>
          <w:szCs w:val="24"/>
          <w:lang w:eastAsia="ar-SA"/>
        </w:rPr>
        <w:t xml:space="preserve"> cantidad de páginas, </w:t>
      </w:r>
      <w:r w:rsidR="000700B8">
        <w:rPr>
          <w:rFonts w:ascii="Arial" w:hAnsi="Arial" w:cs="Arial"/>
          <w:sz w:val="24"/>
          <w:szCs w:val="24"/>
          <w:lang w:eastAsia="ar-SA"/>
        </w:rPr>
        <w:t>según surja del embalaje</w:t>
      </w:r>
      <w:r w:rsidR="00FC1B65">
        <w:rPr>
          <w:rFonts w:ascii="Arial" w:hAnsi="Arial" w:cs="Arial"/>
          <w:sz w:val="24"/>
          <w:szCs w:val="24"/>
          <w:lang w:eastAsia="ar-SA"/>
        </w:rPr>
        <w:t xml:space="preserve"> o</w:t>
      </w:r>
      <w:r w:rsidR="000700B8">
        <w:rPr>
          <w:rFonts w:ascii="Arial" w:hAnsi="Arial" w:cs="Arial"/>
          <w:sz w:val="24"/>
          <w:szCs w:val="24"/>
          <w:lang w:eastAsia="ar-SA"/>
        </w:rPr>
        <w:t xml:space="preserve"> ficha técnica del producto, </w:t>
      </w:r>
      <w:r w:rsidR="00893A72">
        <w:rPr>
          <w:rFonts w:ascii="Arial" w:hAnsi="Arial" w:cs="Arial"/>
          <w:sz w:val="24"/>
          <w:szCs w:val="24"/>
          <w:lang w:eastAsia="ar-SA"/>
        </w:rPr>
        <w:t>o página web del fabricante.</w:t>
      </w:r>
      <w:r w:rsidR="000700B8">
        <w:rPr>
          <w:rFonts w:ascii="Arial" w:hAnsi="Arial" w:cs="Arial"/>
          <w:sz w:val="24"/>
          <w:szCs w:val="24"/>
          <w:lang w:eastAsia="ar-SA"/>
        </w:rPr>
        <w:t xml:space="preserve"> </w:t>
      </w:r>
      <w:r w:rsidR="000700B8" w:rsidRPr="005734C2">
        <w:rPr>
          <w:rFonts w:ascii="Arial" w:hAnsi="Arial" w:cs="Arial"/>
          <w:sz w:val="24"/>
          <w:szCs w:val="24"/>
          <w:lang w:eastAsia="ar-SA"/>
        </w:rPr>
        <w:t>El</w:t>
      </w:r>
      <w:r w:rsidR="007126EC" w:rsidRPr="007126EC">
        <w:rPr>
          <w:rFonts w:ascii="Arial" w:hAnsi="Arial" w:cs="Arial"/>
          <w:sz w:val="24"/>
          <w:szCs w:val="24"/>
          <w:lang w:eastAsia="ar-SA"/>
        </w:rPr>
        <w:t xml:space="preserve"> resto de las ofertas se evaluarán conforme al criterio de la proporcionalidad</w:t>
      </w:r>
      <w:r w:rsidR="003B5365" w:rsidRPr="005734C2">
        <w:rPr>
          <w:rFonts w:ascii="Arial" w:hAnsi="Arial" w:cs="Arial"/>
          <w:sz w:val="24"/>
          <w:szCs w:val="24"/>
          <w:lang w:eastAsia="ar-SA"/>
        </w:rPr>
        <w:t>.</w:t>
      </w:r>
    </w:p>
    <w:p w14:paraId="1437D127" w14:textId="1A6EDCB2" w:rsidR="007126EC" w:rsidRDefault="007126EC" w:rsidP="007126EC">
      <w:pPr>
        <w:pStyle w:val="Prrafodelista"/>
        <w:numPr>
          <w:ilvl w:val="0"/>
          <w:numId w:val="19"/>
        </w:numPr>
        <w:tabs>
          <w:tab w:val="left" w:pos="284"/>
        </w:tabs>
        <w:spacing w:after="0" w:line="360" w:lineRule="auto"/>
        <w:ind w:left="308"/>
        <w:jc w:val="both"/>
        <w:rPr>
          <w:rFonts w:ascii="Arial" w:hAnsi="Arial" w:cs="Arial"/>
          <w:sz w:val="24"/>
          <w:szCs w:val="24"/>
          <w:lang w:eastAsia="ar-SA"/>
        </w:rPr>
      </w:pPr>
      <w:r>
        <w:rPr>
          <w:rFonts w:ascii="Arial" w:hAnsi="Arial" w:cs="Arial"/>
          <w:b/>
          <w:sz w:val="24"/>
          <w:szCs w:val="24"/>
          <w:lang w:eastAsia="ar-SA"/>
        </w:rPr>
        <w:t>Certificaciones</w:t>
      </w:r>
      <w:r w:rsidRPr="007126EC">
        <w:rPr>
          <w:rFonts w:ascii="Arial" w:hAnsi="Arial" w:cs="Arial"/>
          <w:sz w:val="24"/>
          <w:szCs w:val="24"/>
          <w:lang w:eastAsia="ar-SA"/>
        </w:rPr>
        <w:t xml:space="preserve"> </w:t>
      </w:r>
      <w:r w:rsidRPr="007126EC">
        <w:rPr>
          <w:rFonts w:ascii="Arial" w:hAnsi="Arial" w:cs="Arial"/>
          <w:b/>
          <w:bCs/>
          <w:sz w:val="24"/>
          <w:szCs w:val="24"/>
          <w:lang w:eastAsia="ar-SA"/>
        </w:rPr>
        <w:t>ISO/</w:t>
      </w:r>
      <w:r w:rsidR="000700B8" w:rsidRPr="007126EC">
        <w:rPr>
          <w:rFonts w:ascii="Arial" w:hAnsi="Arial" w:cs="Arial"/>
          <w:b/>
          <w:bCs/>
          <w:sz w:val="24"/>
          <w:szCs w:val="24"/>
          <w:lang w:eastAsia="ar-SA"/>
        </w:rPr>
        <w:t>IEC</w:t>
      </w:r>
      <w:r w:rsidR="000700B8" w:rsidRPr="007126EC">
        <w:rPr>
          <w:rFonts w:ascii="Arial" w:hAnsi="Arial" w:cs="Arial"/>
          <w:sz w:val="24"/>
          <w:szCs w:val="24"/>
          <w:lang w:eastAsia="ar-SA"/>
        </w:rPr>
        <w:t>:</w:t>
      </w:r>
    </w:p>
    <w:p w14:paraId="6C22D9F2" w14:textId="07F0B4DB" w:rsidR="000700B8" w:rsidRPr="000700B8" w:rsidRDefault="000700B8" w:rsidP="00A27189">
      <w:pPr>
        <w:pStyle w:val="Prrafodelista"/>
        <w:numPr>
          <w:ilvl w:val="1"/>
          <w:numId w:val="22"/>
        </w:numPr>
        <w:tabs>
          <w:tab w:val="left" w:pos="284"/>
        </w:tabs>
        <w:spacing w:after="0" w:line="360" w:lineRule="auto"/>
        <w:ind w:left="641" w:hanging="357"/>
        <w:jc w:val="both"/>
        <w:rPr>
          <w:rFonts w:ascii="Arial" w:hAnsi="Arial" w:cs="Arial"/>
          <w:sz w:val="24"/>
          <w:szCs w:val="24"/>
          <w:lang w:eastAsia="ar-SA"/>
        </w:rPr>
      </w:pPr>
      <w:r w:rsidRPr="000700B8">
        <w:rPr>
          <w:rFonts w:ascii="Arial" w:hAnsi="Arial" w:cs="Arial"/>
          <w:b/>
          <w:bCs/>
          <w:sz w:val="24"/>
          <w:szCs w:val="24"/>
          <w:lang w:eastAsia="ar-SA"/>
        </w:rPr>
        <w:t>ISO/IEC 19752</w:t>
      </w:r>
      <w:r>
        <w:rPr>
          <w:rFonts w:ascii="Arial" w:hAnsi="Arial" w:cs="Arial"/>
          <w:sz w:val="24"/>
          <w:szCs w:val="24"/>
          <w:lang w:eastAsia="ar-SA"/>
        </w:rPr>
        <w:t>: Se les asignarán 2,5 puntos a las ofertas cuyos cartuchos acrediten poseer la certificación ISO/IEC 19752, según surja del empaque del producto y/o de la página web del fabricante.</w:t>
      </w:r>
    </w:p>
    <w:p w14:paraId="0861C660" w14:textId="59E65755" w:rsidR="007126EC" w:rsidRPr="007126EC" w:rsidRDefault="000700B8" w:rsidP="00A27189">
      <w:pPr>
        <w:pStyle w:val="Prrafodelista"/>
        <w:numPr>
          <w:ilvl w:val="1"/>
          <w:numId w:val="22"/>
        </w:numPr>
        <w:tabs>
          <w:tab w:val="left" w:pos="284"/>
        </w:tabs>
        <w:spacing w:after="0" w:line="360" w:lineRule="auto"/>
        <w:ind w:left="641" w:hanging="357"/>
        <w:jc w:val="both"/>
        <w:rPr>
          <w:rFonts w:ascii="Arial" w:hAnsi="Arial" w:cs="Arial"/>
          <w:sz w:val="24"/>
          <w:szCs w:val="24"/>
          <w:lang w:eastAsia="ar-SA"/>
        </w:rPr>
      </w:pPr>
      <w:r w:rsidRPr="000700B8">
        <w:rPr>
          <w:rFonts w:ascii="Arial" w:hAnsi="Arial" w:cs="Arial"/>
          <w:b/>
          <w:bCs/>
          <w:sz w:val="24"/>
          <w:szCs w:val="24"/>
          <w:lang w:eastAsia="ar-SA"/>
        </w:rPr>
        <w:t>ISO/IEC 19798</w:t>
      </w:r>
      <w:r>
        <w:rPr>
          <w:rFonts w:ascii="Arial" w:hAnsi="Arial" w:cs="Arial"/>
          <w:sz w:val="24"/>
          <w:szCs w:val="24"/>
          <w:lang w:eastAsia="ar-SA"/>
        </w:rPr>
        <w:t>: Se les asignarán 2,5 puntos a las ofertas cuyos cartuchos acrediten poseer la certificación ISO/IEC 19798, según surja del empaque del producto y/o de la página web del fabricante</w:t>
      </w:r>
      <w:r w:rsidR="007126EC" w:rsidRPr="007126EC">
        <w:rPr>
          <w:rFonts w:ascii="Arial" w:hAnsi="Arial" w:cs="Arial"/>
          <w:sz w:val="24"/>
          <w:szCs w:val="24"/>
          <w:lang w:eastAsia="ar-SA"/>
        </w:rPr>
        <w:t>.</w:t>
      </w:r>
    </w:p>
    <w:p w14:paraId="3BC46A5F" w14:textId="1BE54CD9" w:rsidR="00893A72" w:rsidRPr="009E7555" w:rsidRDefault="00893A72" w:rsidP="00A27189">
      <w:pPr>
        <w:pStyle w:val="Prrafodelista"/>
        <w:numPr>
          <w:ilvl w:val="1"/>
          <w:numId w:val="22"/>
        </w:numPr>
        <w:tabs>
          <w:tab w:val="left" w:pos="284"/>
        </w:tabs>
        <w:spacing w:after="0" w:line="360" w:lineRule="auto"/>
        <w:ind w:left="641" w:hanging="357"/>
        <w:jc w:val="both"/>
        <w:rPr>
          <w:rFonts w:ascii="Arial" w:hAnsi="Arial" w:cs="Arial"/>
          <w:sz w:val="24"/>
          <w:szCs w:val="24"/>
          <w:lang w:eastAsia="ar-SA"/>
        </w:rPr>
      </w:pPr>
      <w:r w:rsidRPr="009E7555">
        <w:rPr>
          <w:rFonts w:ascii="Arial" w:hAnsi="Arial" w:cs="Arial"/>
          <w:b/>
          <w:bCs/>
          <w:sz w:val="24"/>
          <w:szCs w:val="24"/>
          <w:lang w:eastAsia="ar-SA"/>
        </w:rPr>
        <w:t>ISO/IEC 24711</w:t>
      </w:r>
      <w:r w:rsidRPr="009E7555">
        <w:rPr>
          <w:rFonts w:ascii="Arial" w:hAnsi="Arial" w:cs="Arial"/>
          <w:sz w:val="24"/>
          <w:szCs w:val="24"/>
          <w:lang w:eastAsia="ar-SA"/>
        </w:rPr>
        <w:t xml:space="preserve">: Se les asignarán 2,5 puntos a las ofertas cuyos cartuchos </w:t>
      </w:r>
      <w:r w:rsidR="0030171E" w:rsidRPr="009E7555">
        <w:rPr>
          <w:rFonts w:ascii="Arial" w:hAnsi="Arial" w:cs="Arial"/>
          <w:sz w:val="24"/>
          <w:szCs w:val="24"/>
          <w:lang w:eastAsia="ar-SA"/>
        </w:rPr>
        <w:t xml:space="preserve">de tinta </w:t>
      </w:r>
      <w:r w:rsidRPr="009E7555">
        <w:rPr>
          <w:rFonts w:ascii="Arial" w:hAnsi="Arial" w:cs="Arial"/>
          <w:sz w:val="24"/>
          <w:szCs w:val="24"/>
          <w:lang w:eastAsia="ar-SA"/>
        </w:rPr>
        <w:t>acrediten poseer la certificación ISO/IEC 24711, según surja del empaque del producto y/o de la página web del fabricante.</w:t>
      </w:r>
    </w:p>
    <w:p w14:paraId="00013061" w14:textId="1CEEB8C5" w:rsidR="00893A72" w:rsidRPr="00893A72" w:rsidRDefault="00893A72" w:rsidP="00A27189">
      <w:pPr>
        <w:pStyle w:val="Prrafodelista"/>
        <w:numPr>
          <w:ilvl w:val="1"/>
          <w:numId w:val="22"/>
        </w:numPr>
        <w:tabs>
          <w:tab w:val="left" w:pos="284"/>
        </w:tabs>
        <w:spacing w:after="0" w:line="360" w:lineRule="auto"/>
        <w:ind w:left="641" w:hanging="357"/>
        <w:jc w:val="both"/>
        <w:rPr>
          <w:rFonts w:ascii="Arial" w:hAnsi="Arial" w:cs="Arial"/>
          <w:sz w:val="24"/>
          <w:szCs w:val="24"/>
          <w:lang w:eastAsia="ar-SA"/>
        </w:rPr>
      </w:pPr>
      <w:r>
        <w:rPr>
          <w:rFonts w:ascii="Arial" w:hAnsi="Arial" w:cs="Arial"/>
          <w:b/>
          <w:bCs/>
          <w:sz w:val="24"/>
          <w:szCs w:val="24"/>
          <w:lang w:eastAsia="ar-SA"/>
        </w:rPr>
        <w:t>ISO 14001</w:t>
      </w:r>
      <w:r w:rsidRPr="00893A72">
        <w:rPr>
          <w:rFonts w:ascii="Arial" w:hAnsi="Arial" w:cs="Arial"/>
          <w:b/>
          <w:sz w:val="24"/>
          <w:szCs w:val="24"/>
          <w:lang w:eastAsia="ar-SA"/>
        </w:rPr>
        <w:t xml:space="preserve">: </w:t>
      </w:r>
      <w:r>
        <w:rPr>
          <w:rFonts w:ascii="Arial" w:hAnsi="Arial" w:cs="Arial"/>
          <w:sz w:val="24"/>
          <w:szCs w:val="24"/>
          <w:lang w:eastAsia="ar-SA"/>
        </w:rPr>
        <w:t>Se les asignarán 2,5 puntos a las ofertas cuyos cartuchos acrediten poseer la certificación ISO/IEC 14001, según surja del empaque del producto y/o de la página web del fabricante</w:t>
      </w:r>
    </w:p>
    <w:p w14:paraId="0C7CD077" w14:textId="5E8A7040" w:rsidR="003B5365" w:rsidRPr="00893A72" w:rsidRDefault="00542084" w:rsidP="00DD277C">
      <w:pPr>
        <w:pStyle w:val="Prrafodelista"/>
        <w:numPr>
          <w:ilvl w:val="0"/>
          <w:numId w:val="19"/>
        </w:numPr>
        <w:tabs>
          <w:tab w:val="left" w:pos="284"/>
        </w:tabs>
        <w:spacing w:after="0" w:line="360" w:lineRule="auto"/>
        <w:ind w:left="308"/>
        <w:jc w:val="both"/>
        <w:rPr>
          <w:rFonts w:ascii="Arial" w:hAnsi="Arial" w:cs="Arial"/>
          <w:sz w:val="24"/>
          <w:szCs w:val="24"/>
          <w:lang w:eastAsia="ar-SA"/>
        </w:rPr>
      </w:pPr>
      <w:r w:rsidRPr="00893A72">
        <w:rPr>
          <w:rFonts w:ascii="Arial" w:hAnsi="Arial" w:cs="Arial"/>
          <w:b/>
          <w:sz w:val="24"/>
          <w:szCs w:val="24"/>
          <w:lang w:eastAsia="ar-SA"/>
        </w:rPr>
        <w:t>Vida útil</w:t>
      </w:r>
      <w:r w:rsidR="00DE163F" w:rsidRPr="00893A72">
        <w:rPr>
          <w:rFonts w:ascii="Arial" w:hAnsi="Arial" w:cs="Arial"/>
          <w:sz w:val="24"/>
          <w:szCs w:val="24"/>
          <w:lang w:eastAsia="ar-SA"/>
        </w:rPr>
        <w:t xml:space="preserve">, </w:t>
      </w:r>
      <w:r w:rsidR="00DE163F" w:rsidRPr="00893A72">
        <w:rPr>
          <w:rFonts w:ascii="Arial" w:hAnsi="Arial" w:cs="Arial"/>
          <w:b/>
          <w:bCs/>
          <w:sz w:val="24"/>
          <w:szCs w:val="24"/>
          <w:lang w:eastAsia="ar-SA"/>
        </w:rPr>
        <w:t>Tiempo que el tóner se mantiene en buen estado una vez abierto y en uso</w:t>
      </w:r>
      <w:r w:rsidR="00DE163F" w:rsidRPr="00893A72">
        <w:rPr>
          <w:rFonts w:ascii="Arial" w:hAnsi="Arial" w:cs="Arial"/>
          <w:sz w:val="24"/>
          <w:szCs w:val="24"/>
          <w:lang w:eastAsia="ar-SA"/>
        </w:rPr>
        <w:t xml:space="preserve">: </w:t>
      </w:r>
      <w:r w:rsidRPr="00893A72">
        <w:rPr>
          <w:rFonts w:ascii="Arial" w:hAnsi="Arial" w:cs="Arial"/>
          <w:sz w:val="24"/>
          <w:szCs w:val="24"/>
          <w:lang w:eastAsia="ar-SA"/>
        </w:rPr>
        <w:t xml:space="preserve"> </w:t>
      </w:r>
      <w:r w:rsidR="00E55A14" w:rsidRPr="00893A72">
        <w:rPr>
          <w:rFonts w:ascii="Arial" w:hAnsi="Arial" w:cs="Arial"/>
          <w:sz w:val="24"/>
          <w:szCs w:val="24"/>
          <w:lang w:eastAsia="ar-SA"/>
        </w:rPr>
        <w:t>se le otorgará el máximo puntaje previsto a la oferta que presente los equipos con la vida útil más extensa</w:t>
      </w:r>
      <w:r w:rsidR="00317198" w:rsidRPr="00893A72">
        <w:rPr>
          <w:rFonts w:ascii="Arial" w:hAnsi="Arial" w:cs="Arial"/>
          <w:sz w:val="24"/>
          <w:szCs w:val="24"/>
          <w:lang w:eastAsia="ar-SA"/>
        </w:rPr>
        <w:t xml:space="preserve"> según surja de la ficha técnica del producto o </w:t>
      </w:r>
      <w:r w:rsidR="00317198" w:rsidRPr="00893A72">
        <w:rPr>
          <w:rFonts w:ascii="Arial" w:hAnsi="Arial" w:cs="Arial"/>
          <w:sz w:val="24"/>
          <w:szCs w:val="24"/>
          <w:lang w:eastAsia="ar-SA"/>
        </w:rPr>
        <w:lastRenderedPageBreak/>
        <w:t>página web del fabricante. La vida útil deberá computarse a partir de la fecha de fabricación que informe la etiqueta o embalaje cerrado del producto.</w:t>
      </w:r>
      <w:r w:rsidR="008C0E59" w:rsidRPr="00893A72">
        <w:rPr>
          <w:rFonts w:ascii="Arial" w:hAnsi="Arial" w:cs="Arial"/>
          <w:sz w:val="24"/>
          <w:szCs w:val="24"/>
          <w:lang w:eastAsia="ar-SA"/>
        </w:rPr>
        <w:t xml:space="preserve"> En el caso de existir pluralidad de ofertas con igual vida útil, se las calificará idénticamente a todas. Las demás ofertas serán calificadas en función del criterio de proporcionalidad.</w:t>
      </w:r>
    </w:p>
    <w:p w14:paraId="2B561DCE" w14:textId="77777777" w:rsidR="00E262B7" w:rsidRPr="005734C2" w:rsidRDefault="00E262B7" w:rsidP="00DD277C">
      <w:pPr>
        <w:pStyle w:val="Normal1"/>
        <w:numPr>
          <w:ilvl w:val="0"/>
          <w:numId w:val="17"/>
        </w:numPr>
        <w:pBdr>
          <w:top w:val="nil"/>
          <w:left w:val="nil"/>
          <w:bottom w:val="nil"/>
          <w:right w:val="nil"/>
          <w:between w:val="nil"/>
        </w:pBdr>
        <w:tabs>
          <w:tab w:val="left" w:pos="284"/>
          <w:tab w:val="left" w:pos="851"/>
        </w:tabs>
        <w:spacing w:line="360" w:lineRule="auto"/>
        <w:ind w:left="308"/>
        <w:jc w:val="both"/>
        <w:rPr>
          <w:rFonts w:ascii="Arial" w:eastAsiaTheme="minorHAnsi" w:hAnsi="Arial" w:cs="Arial"/>
          <w:b/>
          <w:u w:val="single"/>
          <w:lang w:eastAsia="en-US"/>
        </w:rPr>
      </w:pPr>
      <w:r w:rsidRPr="005734C2">
        <w:rPr>
          <w:rFonts w:ascii="Arial" w:eastAsiaTheme="minorHAnsi" w:hAnsi="Arial" w:cs="Arial"/>
          <w:b/>
          <w:u w:val="single"/>
          <w:lang w:eastAsia="en-US"/>
        </w:rPr>
        <w:t>PLAZO DE ENTREGA</w:t>
      </w:r>
    </w:p>
    <w:p w14:paraId="21C220A2" w14:textId="77777777" w:rsidR="00E262B7" w:rsidRPr="005734C2" w:rsidRDefault="00E262B7" w:rsidP="00DD277C">
      <w:pPr>
        <w:pStyle w:val="Normal1"/>
        <w:pBdr>
          <w:top w:val="nil"/>
          <w:left w:val="nil"/>
          <w:bottom w:val="nil"/>
          <w:right w:val="nil"/>
          <w:between w:val="nil"/>
        </w:pBdr>
        <w:tabs>
          <w:tab w:val="left" w:pos="284"/>
          <w:tab w:val="left" w:pos="851"/>
        </w:tabs>
        <w:spacing w:line="360" w:lineRule="auto"/>
        <w:ind w:left="308"/>
        <w:jc w:val="both"/>
        <w:rPr>
          <w:rFonts w:ascii="Arial" w:eastAsiaTheme="minorHAnsi" w:hAnsi="Arial" w:cs="Arial"/>
          <w:lang w:eastAsia="en-US"/>
        </w:rPr>
      </w:pPr>
      <w:r w:rsidRPr="005734C2">
        <w:rPr>
          <w:rFonts w:ascii="Arial" w:eastAsiaTheme="minorHAnsi" w:hAnsi="Arial" w:cs="Arial"/>
          <w:lang w:eastAsia="en-US"/>
        </w:rPr>
        <w:t xml:space="preserve">Teniendo en cuenta el plazo de cumplimiento estipulado por el Pliego de Condiciones Particulares o Especiales respecto de la obligación principal inherente al objeto de la contratación (la entrega de los bienes o la prestación del servicio), se calificará con el máximo puntaje previsto (10 puntos) a la oferta que proponga dicho cumplimiento en el menor plazo cierto determinado por el oferente (oferta superadora). </w:t>
      </w:r>
    </w:p>
    <w:p w14:paraId="2F6AB48E" w14:textId="77777777" w:rsidR="00E262B7" w:rsidRPr="005734C2" w:rsidRDefault="00E262B7" w:rsidP="00DD277C">
      <w:pPr>
        <w:pStyle w:val="Normal1"/>
        <w:pBdr>
          <w:top w:val="nil"/>
          <w:left w:val="nil"/>
          <w:bottom w:val="nil"/>
          <w:right w:val="nil"/>
          <w:between w:val="nil"/>
        </w:pBdr>
        <w:tabs>
          <w:tab w:val="left" w:pos="284"/>
          <w:tab w:val="left" w:pos="851"/>
        </w:tabs>
        <w:spacing w:line="360" w:lineRule="auto"/>
        <w:ind w:left="308"/>
        <w:jc w:val="both"/>
        <w:rPr>
          <w:rFonts w:ascii="Arial" w:eastAsiaTheme="minorHAnsi" w:hAnsi="Arial" w:cs="Arial"/>
          <w:lang w:eastAsia="en-US"/>
        </w:rPr>
      </w:pPr>
      <w:r w:rsidRPr="005734C2">
        <w:rPr>
          <w:rFonts w:ascii="Arial" w:eastAsiaTheme="minorHAnsi" w:hAnsi="Arial" w:cs="Arial"/>
          <w:lang w:eastAsia="en-US"/>
        </w:rPr>
        <w:t xml:space="preserve">Las demás ofertas serán calificadas conforme el criterio de la proporcionalidad, en función del plazo propuesto. Las ofertas que no precisen de una manera expresa y determinada el plazo cierto bajo el cual se propone cumplir con la obligación principal del contrato, o las que manifiesten un plazo igual o mayor al previsto por el Pliego, serán calificadas sin puntaje.  </w:t>
      </w:r>
    </w:p>
    <w:p w14:paraId="2B9D6CED" w14:textId="2D1110D1" w:rsidR="00E262B7" w:rsidRPr="005734C2" w:rsidRDefault="00E262B7" w:rsidP="00DD277C">
      <w:pPr>
        <w:pStyle w:val="Normal1"/>
        <w:pBdr>
          <w:top w:val="nil"/>
          <w:left w:val="nil"/>
          <w:bottom w:val="nil"/>
          <w:right w:val="nil"/>
          <w:between w:val="nil"/>
        </w:pBdr>
        <w:tabs>
          <w:tab w:val="left" w:pos="284"/>
          <w:tab w:val="left" w:pos="851"/>
        </w:tabs>
        <w:spacing w:line="360" w:lineRule="auto"/>
        <w:ind w:left="308"/>
        <w:jc w:val="both"/>
        <w:rPr>
          <w:rFonts w:ascii="Arial" w:eastAsiaTheme="minorHAnsi" w:hAnsi="Arial" w:cs="Arial"/>
          <w:b/>
          <w:u w:val="single"/>
          <w:lang w:eastAsia="en-US"/>
        </w:rPr>
      </w:pPr>
      <w:r w:rsidRPr="005734C2">
        <w:rPr>
          <w:rFonts w:ascii="Arial" w:eastAsiaTheme="minorHAnsi" w:hAnsi="Arial" w:cs="Arial"/>
          <w:b/>
          <w:u w:val="single"/>
          <w:lang w:eastAsia="en-US"/>
        </w:rPr>
        <w:t>ATENCION</w:t>
      </w:r>
      <w:r w:rsidRPr="005734C2">
        <w:rPr>
          <w:rFonts w:ascii="Arial" w:eastAsiaTheme="minorHAnsi" w:hAnsi="Arial" w:cs="Arial"/>
          <w:b/>
          <w:lang w:eastAsia="en-US"/>
        </w:rPr>
        <w:t>: El plazo de entrega que planifique el oferente en su propuesta se considerará una Declaración Jurada de cumplimiento del contrato. Por lo tanto, ante la mora (mora automática imputable), por cada día de retardo se aplicará una multa diaria del 0,1% del valor del</w:t>
      </w:r>
      <w:r w:rsidR="009E7555">
        <w:rPr>
          <w:rFonts w:ascii="Arial" w:eastAsiaTheme="minorHAnsi" w:hAnsi="Arial" w:cs="Arial"/>
          <w:b/>
          <w:lang w:eastAsia="en-US"/>
        </w:rPr>
        <w:t xml:space="preserve"> bien (o de los bien</w:t>
      </w:r>
      <w:r w:rsidRPr="005734C2">
        <w:rPr>
          <w:rFonts w:ascii="Arial" w:eastAsiaTheme="minorHAnsi" w:hAnsi="Arial" w:cs="Arial"/>
          <w:b/>
          <w:lang w:eastAsia="en-US"/>
        </w:rPr>
        <w:t>es</w:t>
      </w:r>
      <w:r w:rsidR="009E7555">
        <w:rPr>
          <w:rFonts w:ascii="Arial" w:eastAsiaTheme="minorHAnsi" w:hAnsi="Arial" w:cs="Arial"/>
          <w:b/>
          <w:lang w:eastAsia="en-US"/>
        </w:rPr>
        <w:t>, en su defecto)</w:t>
      </w:r>
      <w:r w:rsidRPr="005734C2">
        <w:rPr>
          <w:rFonts w:ascii="Arial" w:eastAsiaTheme="minorHAnsi" w:hAnsi="Arial" w:cs="Arial"/>
          <w:b/>
          <w:lang w:eastAsia="en-US"/>
        </w:rPr>
        <w:t xml:space="preserve"> no entregado/s dentro del plazo propuesto.</w:t>
      </w:r>
    </w:p>
    <w:p w14:paraId="5168828F" w14:textId="77777777" w:rsidR="00567694" w:rsidRPr="005734C2" w:rsidRDefault="00567694" w:rsidP="00DD277C">
      <w:pPr>
        <w:pStyle w:val="Normal1"/>
        <w:numPr>
          <w:ilvl w:val="0"/>
          <w:numId w:val="17"/>
        </w:numPr>
        <w:pBdr>
          <w:top w:val="nil"/>
          <w:left w:val="nil"/>
          <w:bottom w:val="nil"/>
          <w:right w:val="nil"/>
          <w:between w:val="nil"/>
        </w:pBdr>
        <w:tabs>
          <w:tab w:val="left" w:pos="284"/>
          <w:tab w:val="left" w:pos="851"/>
        </w:tabs>
        <w:spacing w:line="360" w:lineRule="auto"/>
        <w:ind w:left="308"/>
        <w:jc w:val="both"/>
        <w:rPr>
          <w:rFonts w:ascii="Arial" w:eastAsiaTheme="minorHAnsi" w:hAnsi="Arial" w:cs="Arial"/>
          <w:b/>
          <w:u w:val="single"/>
          <w:lang w:eastAsia="en-US"/>
        </w:rPr>
      </w:pPr>
      <w:r w:rsidRPr="005734C2">
        <w:rPr>
          <w:rFonts w:ascii="Arial" w:eastAsiaTheme="minorHAnsi" w:hAnsi="Arial" w:cs="Arial"/>
          <w:b/>
          <w:u w:val="single"/>
          <w:lang w:eastAsia="en-US"/>
        </w:rPr>
        <w:t>ACREDITACIÓN DE OBJETIVOS DE DESARROLLO SOSTENIBLE (S/LEY 9193)</w:t>
      </w:r>
    </w:p>
    <w:p w14:paraId="31658636" w14:textId="77777777" w:rsidR="00C900A9" w:rsidRPr="005734C2" w:rsidRDefault="00C900A9" w:rsidP="00DD277C">
      <w:pPr>
        <w:pStyle w:val="Sinespaciado"/>
        <w:tabs>
          <w:tab w:val="left" w:pos="284"/>
        </w:tabs>
        <w:spacing w:line="360" w:lineRule="auto"/>
        <w:ind w:left="308"/>
        <w:jc w:val="both"/>
        <w:rPr>
          <w:rFonts w:ascii="Arial" w:hAnsi="Arial" w:cs="Arial"/>
          <w:sz w:val="24"/>
          <w:szCs w:val="24"/>
        </w:rPr>
      </w:pPr>
      <w:r w:rsidRPr="005734C2">
        <w:rPr>
          <w:rFonts w:ascii="Arial" w:hAnsi="Arial" w:cs="Arial"/>
          <w:sz w:val="24"/>
          <w:szCs w:val="24"/>
        </w:rPr>
        <w:t xml:space="preserve">Para la presente contratación, se considera relevante la evaluación del desempeño empresario de los oferentes, a la luz de las metas de los Objetivos de Desarrollo Sostenible del Pacto Global de las Naciones Unidas.                                                                               </w:t>
      </w:r>
    </w:p>
    <w:p w14:paraId="1EDA8C6D" w14:textId="77777777" w:rsidR="00C900A9" w:rsidRPr="005734C2" w:rsidRDefault="00C900A9" w:rsidP="00DD277C">
      <w:pPr>
        <w:pStyle w:val="Sinespaciado"/>
        <w:tabs>
          <w:tab w:val="left" w:pos="284"/>
        </w:tabs>
        <w:spacing w:line="360" w:lineRule="auto"/>
        <w:ind w:left="308"/>
        <w:jc w:val="both"/>
        <w:rPr>
          <w:rFonts w:ascii="Arial" w:hAnsi="Arial" w:cs="Arial"/>
          <w:sz w:val="24"/>
          <w:szCs w:val="24"/>
        </w:rPr>
      </w:pPr>
      <w:r w:rsidRPr="005734C2">
        <w:rPr>
          <w:rFonts w:ascii="Arial" w:hAnsi="Arial" w:cs="Arial"/>
          <w:sz w:val="24"/>
          <w:szCs w:val="24"/>
        </w:rPr>
        <w:t xml:space="preserve"> (ver  </w:t>
      </w:r>
      <w:hyperlink r:id="rId7" w:history="1">
        <w:r w:rsidRPr="005734C2">
          <w:rPr>
            <w:rStyle w:val="Hipervnculo"/>
            <w:rFonts w:ascii="Arial" w:hAnsi="Arial" w:cs="Arial"/>
            <w:sz w:val="24"/>
            <w:szCs w:val="24"/>
          </w:rPr>
          <w:t>https://www.un.org/sustainabledevelopment/es/objetivos-de-desarrollo-sostenible/</w:t>
        </w:r>
      </w:hyperlink>
      <w:r w:rsidRPr="005734C2">
        <w:rPr>
          <w:rFonts w:ascii="Arial" w:hAnsi="Arial" w:cs="Arial"/>
          <w:sz w:val="24"/>
          <w:szCs w:val="24"/>
        </w:rPr>
        <w:t>) .</w:t>
      </w:r>
    </w:p>
    <w:p w14:paraId="4149FE06" w14:textId="77777777" w:rsidR="00C900A9" w:rsidRPr="005734C2" w:rsidRDefault="00C900A9" w:rsidP="00DD277C">
      <w:pPr>
        <w:pStyle w:val="Sinespaciado"/>
        <w:tabs>
          <w:tab w:val="left" w:pos="284"/>
        </w:tabs>
        <w:spacing w:line="360" w:lineRule="auto"/>
        <w:ind w:left="308"/>
        <w:jc w:val="both"/>
        <w:rPr>
          <w:rFonts w:ascii="Arial" w:hAnsi="Arial" w:cs="Arial"/>
          <w:sz w:val="24"/>
          <w:szCs w:val="24"/>
        </w:rPr>
      </w:pPr>
      <w:r w:rsidRPr="005734C2">
        <w:rPr>
          <w:rFonts w:ascii="Arial" w:hAnsi="Arial" w:cs="Arial"/>
          <w:sz w:val="24"/>
          <w:szCs w:val="24"/>
        </w:rPr>
        <w:t xml:space="preserve">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w:t>
      </w:r>
      <w:r w:rsidRPr="005734C2">
        <w:rPr>
          <w:rFonts w:ascii="Arial" w:hAnsi="Arial" w:cs="Arial"/>
          <w:sz w:val="24"/>
          <w:szCs w:val="24"/>
        </w:rPr>
        <w:lastRenderedPageBreak/>
        <w:t>Evaluación verificará el puntaje en cada caso, a través de la información que difunda públicamente en su web institucional la Dirección General de Contrataciones Públicas y Gestión de Bienes (https://www.mendoza.gov.ar/compras/compras-publicas-sustentables/). A este efecto, se informan los siguientes ponderadores de calificación del desempeño empresario sustentable, adoptados por la Guía Elemental del Programa de Compras Sustentables de la Administración Provincial.</w:t>
      </w:r>
    </w:p>
    <w:p w14:paraId="4EA31082" w14:textId="77777777" w:rsidR="00C900A9" w:rsidRPr="005734C2" w:rsidRDefault="00C900A9" w:rsidP="00DD277C">
      <w:pPr>
        <w:pStyle w:val="Sinespaciado"/>
        <w:tabs>
          <w:tab w:val="left" w:pos="284"/>
        </w:tabs>
        <w:spacing w:line="360" w:lineRule="auto"/>
        <w:ind w:left="308"/>
        <w:jc w:val="both"/>
        <w:rPr>
          <w:rFonts w:ascii="Arial" w:hAnsi="Arial" w:cs="Arial"/>
          <w:sz w:val="24"/>
          <w:szCs w:val="24"/>
        </w:rPr>
      </w:pPr>
      <w:r w:rsidRPr="005734C2">
        <w:rPr>
          <w:rFonts w:ascii="Arial" w:hAnsi="Arial" w:cs="Arial"/>
          <w:sz w:val="24"/>
          <w:szCs w:val="24"/>
        </w:rPr>
        <w:t xml:space="preserve"> (ver: </w:t>
      </w:r>
      <w:hyperlink r:id="rId8" w:history="1">
        <w:r w:rsidRPr="005734C2">
          <w:rPr>
            <w:rStyle w:val="Hipervnculo"/>
            <w:rFonts w:ascii="Arial" w:hAnsi="Arial" w:cs="Arial"/>
            <w:sz w:val="24"/>
            <w:szCs w:val="24"/>
          </w:rPr>
          <w:t>https://www.mendoza.gov.ar/compras/compras-publicas-sustentables/</w:t>
        </w:r>
      </w:hyperlink>
      <w:r w:rsidRPr="005734C2">
        <w:rPr>
          <w:rFonts w:ascii="Arial" w:hAnsi="Arial" w:cs="Arial"/>
          <w:sz w:val="24"/>
          <w:szCs w:val="24"/>
        </w:rPr>
        <w:t>)</w:t>
      </w:r>
    </w:p>
    <w:p w14:paraId="60BD2D62" w14:textId="77777777" w:rsidR="00FF67B5" w:rsidRPr="005734C2" w:rsidRDefault="00FF67B5" w:rsidP="00DD277C">
      <w:pPr>
        <w:tabs>
          <w:tab w:val="left" w:pos="284"/>
        </w:tabs>
        <w:autoSpaceDE w:val="0"/>
        <w:autoSpaceDN w:val="0"/>
        <w:adjustRightInd w:val="0"/>
        <w:spacing w:after="0" w:line="360" w:lineRule="auto"/>
        <w:ind w:left="308"/>
        <w:jc w:val="both"/>
        <w:rPr>
          <w:rFonts w:ascii="Arial" w:eastAsia="Tahoma" w:hAnsi="Arial" w:cs="Arial"/>
          <w:sz w:val="24"/>
          <w:szCs w:val="24"/>
          <w:lang w:eastAsia="ar-SA"/>
        </w:rPr>
      </w:pPr>
    </w:p>
    <w:p w14:paraId="5482E07E" w14:textId="77777777" w:rsidR="00C900A9" w:rsidRPr="005734C2" w:rsidRDefault="00221AA1" w:rsidP="00DD277C">
      <w:pPr>
        <w:pStyle w:val="Prrafodelista"/>
        <w:numPr>
          <w:ilvl w:val="0"/>
          <w:numId w:val="17"/>
        </w:numPr>
        <w:tabs>
          <w:tab w:val="left" w:pos="284"/>
        </w:tabs>
        <w:spacing w:after="0" w:line="360" w:lineRule="auto"/>
        <w:ind w:left="308"/>
        <w:jc w:val="both"/>
        <w:rPr>
          <w:rFonts w:ascii="Arial" w:eastAsia="Tahoma" w:hAnsi="Arial" w:cs="Arial"/>
          <w:sz w:val="24"/>
          <w:szCs w:val="24"/>
          <w:lang w:eastAsia="ar-SA"/>
        </w:rPr>
      </w:pPr>
      <w:r w:rsidRPr="005734C2">
        <w:rPr>
          <w:rFonts w:ascii="Arial" w:eastAsia="Times New Roman" w:hAnsi="Arial" w:cs="Arial"/>
          <w:b/>
          <w:sz w:val="24"/>
          <w:szCs w:val="24"/>
          <w:u w:val="single"/>
          <w:lang w:eastAsia="ar-SA"/>
        </w:rPr>
        <w:t>OFERTA ECONÓMICA</w:t>
      </w:r>
    </w:p>
    <w:p w14:paraId="3BEB1E16" w14:textId="77777777" w:rsidR="00C900A9" w:rsidRPr="005734C2" w:rsidRDefault="00221AA1" w:rsidP="00DD277C">
      <w:pPr>
        <w:pStyle w:val="Prrafodelista"/>
        <w:tabs>
          <w:tab w:val="left" w:pos="284"/>
        </w:tabs>
        <w:spacing w:after="0" w:line="360" w:lineRule="auto"/>
        <w:ind w:left="308"/>
        <w:jc w:val="both"/>
        <w:rPr>
          <w:rFonts w:ascii="Arial" w:hAnsi="Arial" w:cs="Arial"/>
          <w:sz w:val="24"/>
          <w:szCs w:val="24"/>
        </w:rPr>
      </w:pPr>
      <w:r w:rsidRPr="005734C2">
        <w:rPr>
          <w:rFonts w:ascii="Arial" w:hAnsi="Arial" w:cs="Arial"/>
          <w:sz w:val="24"/>
          <w:szCs w:val="24"/>
        </w:rPr>
        <w:t>Para este rubro</w:t>
      </w:r>
      <w:r w:rsidR="0092045C" w:rsidRPr="005734C2">
        <w:rPr>
          <w:rFonts w:ascii="Arial" w:hAnsi="Arial" w:cs="Arial"/>
          <w:sz w:val="24"/>
          <w:szCs w:val="24"/>
        </w:rPr>
        <w:t xml:space="preserve"> se asignará el mayor puntaje (5</w:t>
      </w:r>
      <w:r w:rsidRPr="005734C2">
        <w:rPr>
          <w:rFonts w:ascii="Arial" w:hAnsi="Arial" w:cs="Arial"/>
          <w:sz w:val="24"/>
          <w:szCs w:val="24"/>
        </w:rPr>
        <w:t xml:space="preserve">0 puntos) a la oferta que, siendo formal y técnicamente admisible, resulte ser la de menor precio. Las demás serán puntuadas conforme la regla de proporcionalidad. </w:t>
      </w:r>
    </w:p>
    <w:p w14:paraId="45EE0370" w14:textId="77777777" w:rsidR="00221AA1" w:rsidRDefault="00221AA1" w:rsidP="00DD277C">
      <w:pPr>
        <w:tabs>
          <w:tab w:val="left" w:pos="284"/>
        </w:tabs>
        <w:spacing w:after="0" w:line="360" w:lineRule="auto"/>
        <w:ind w:left="308"/>
        <w:jc w:val="both"/>
        <w:rPr>
          <w:rFonts w:ascii="Arial" w:hAnsi="Arial" w:cs="Arial"/>
          <w:sz w:val="24"/>
          <w:szCs w:val="24"/>
        </w:rPr>
      </w:pPr>
      <w:r w:rsidRPr="005734C2">
        <w:rPr>
          <w:rFonts w:ascii="Arial" w:hAnsi="Arial" w:cs="Arial"/>
          <w:sz w:val="24"/>
          <w:szCs w:val="24"/>
        </w:rPr>
        <w:t>Por regla, las ofertas que no superen los 30 puntos serán desestimadas por inconvenientes. La Administración licitante, en virtud de razones fundadas, podrá valorar como conveniente a una oferta determinada, en caso de que la misma no alcanzare el mínimo establecido.</w:t>
      </w:r>
    </w:p>
    <w:p w14:paraId="57F57D10" w14:textId="77777777" w:rsidR="00721AFB" w:rsidRDefault="00721AFB" w:rsidP="00DD277C">
      <w:pPr>
        <w:tabs>
          <w:tab w:val="left" w:pos="284"/>
        </w:tabs>
        <w:spacing w:after="0" w:line="360" w:lineRule="auto"/>
        <w:ind w:left="308"/>
        <w:jc w:val="both"/>
        <w:rPr>
          <w:rFonts w:ascii="Arial" w:hAnsi="Arial" w:cs="Arial"/>
          <w:sz w:val="24"/>
          <w:szCs w:val="24"/>
        </w:rPr>
      </w:pPr>
    </w:p>
    <w:p w14:paraId="4656662C" w14:textId="77777777" w:rsidR="00721AFB" w:rsidRPr="002F77ED" w:rsidRDefault="00721AFB" w:rsidP="00721AFB">
      <w:pPr>
        <w:pStyle w:val="Prrafodelista"/>
        <w:spacing w:after="0" w:line="360" w:lineRule="auto"/>
        <w:ind w:left="0"/>
        <w:jc w:val="both"/>
        <w:rPr>
          <w:rFonts w:ascii="Arial" w:eastAsia="Times New Roman" w:hAnsi="Arial" w:cs="Arial"/>
          <w:color w:val="000000"/>
          <w:sz w:val="24"/>
          <w:szCs w:val="24"/>
        </w:rPr>
      </w:pPr>
      <w:r w:rsidRPr="002F77ED">
        <w:rPr>
          <w:rFonts w:ascii="Arial" w:eastAsia="Times New Roman" w:hAnsi="Arial" w:cs="Arial"/>
          <w:b/>
          <w:bCs/>
          <w:color w:val="000000"/>
          <w:sz w:val="24"/>
          <w:szCs w:val="24"/>
        </w:rPr>
        <w:t>IMPORTANTE</w:t>
      </w:r>
      <w:r w:rsidRPr="002F77ED">
        <w:rPr>
          <w:rFonts w:ascii="Arial" w:eastAsia="Times New Roman" w:hAnsi="Arial" w:cs="Arial"/>
          <w:color w:val="000000"/>
          <w:sz w:val="24"/>
          <w:szCs w:val="24"/>
        </w:rPr>
        <w:t>: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14:paraId="7FCBBE74" w14:textId="77777777" w:rsidR="00721AFB" w:rsidRPr="005734C2" w:rsidRDefault="00721AFB" w:rsidP="00DD277C">
      <w:pPr>
        <w:tabs>
          <w:tab w:val="left" w:pos="284"/>
        </w:tabs>
        <w:spacing w:after="0" w:line="360" w:lineRule="auto"/>
        <w:ind w:left="308"/>
        <w:jc w:val="both"/>
        <w:rPr>
          <w:rFonts w:ascii="Arial" w:eastAsia="Tahoma" w:hAnsi="Arial" w:cs="Arial"/>
          <w:sz w:val="24"/>
          <w:szCs w:val="24"/>
          <w:lang w:eastAsia="ar-SA"/>
        </w:rPr>
      </w:pPr>
      <w:bookmarkStart w:id="0" w:name="_GoBack"/>
      <w:bookmarkEnd w:id="0"/>
    </w:p>
    <w:p w14:paraId="5706CA89" w14:textId="77777777" w:rsidR="00221AA1" w:rsidRPr="005734C2" w:rsidRDefault="00221AA1" w:rsidP="00DD277C">
      <w:pPr>
        <w:tabs>
          <w:tab w:val="left" w:pos="284"/>
        </w:tabs>
        <w:autoSpaceDE w:val="0"/>
        <w:autoSpaceDN w:val="0"/>
        <w:adjustRightInd w:val="0"/>
        <w:spacing w:after="0" w:line="360" w:lineRule="auto"/>
        <w:ind w:left="308"/>
        <w:jc w:val="both"/>
        <w:rPr>
          <w:rFonts w:ascii="Arial" w:eastAsia="Tahoma" w:hAnsi="Arial" w:cs="Arial"/>
          <w:sz w:val="24"/>
          <w:szCs w:val="24"/>
          <w:lang w:eastAsia="ar-SA"/>
        </w:rPr>
      </w:pPr>
    </w:p>
    <w:p w14:paraId="3A94C45C" w14:textId="77777777" w:rsidR="00221AA1" w:rsidRPr="005734C2" w:rsidRDefault="00221AA1" w:rsidP="00DD277C">
      <w:pPr>
        <w:pStyle w:val="Prrafodelista"/>
        <w:tabs>
          <w:tab w:val="left" w:pos="284"/>
        </w:tabs>
        <w:spacing w:after="0" w:line="360" w:lineRule="auto"/>
        <w:ind w:left="0"/>
        <w:jc w:val="both"/>
        <w:rPr>
          <w:rFonts w:ascii="Arial" w:eastAsia="Tahoma" w:hAnsi="Arial" w:cs="Arial"/>
          <w:sz w:val="24"/>
          <w:szCs w:val="24"/>
          <w:lang w:eastAsia="ar-SA"/>
        </w:rPr>
      </w:pPr>
    </w:p>
    <w:sectPr w:rsidR="00221AA1" w:rsidRPr="005734C2" w:rsidSect="0005272C">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D6425" w14:textId="77777777" w:rsidR="00062914" w:rsidRDefault="00062914" w:rsidP="000068BC">
      <w:pPr>
        <w:spacing w:after="0" w:line="240" w:lineRule="auto"/>
      </w:pPr>
      <w:r>
        <w:separator/>
      </w:r>
    </w:p>
  </w:endnote>
  <w:endnote w:type="continuationSeparator" w:id="0">
    <w:p w14:paraId="7EED0BCC" w14:textId="77777777" w:rsidR="00062914" w:rsidRDefault="00062914" w:rsidP="00006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85EF4" w14:textId="77777777" w:rsidR="000C4D6D" w:rsidRDefault="000C4D6D" w:rsidP="000C4D6D">
    <w:pPr>
      <w:pStyle w:val="Piedepgina"/>
      <w:jc w:val="right"/>
    </w:pPr>
  </w:p>
  <w:p w14:paraId="68DF676B" w14:textId="77777777" w:rsidR="008E22B2" w:rsidRDefault="008E22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ACD1B" w14:textId="77777777" w:rsidR="00062914" w:rsidRDefault="00062914" w:rsidP="000068BC">
      <w:pPr>
        <w:spacing w:after="0" w:line="240" w:lineRule="auto"/>
      </w:pPr>
      <w:r>
        <w:separator/>
      </w:r>
    </w:p>
  </w:footnote>
  <w:footnote w:type="continuationSeparator" w:id="0">
    <w:p w14:paraId="096EECAC" w14:textId="77777777" w:rsidR="00062914" w:rsidRDefault="00062914" w:rsidP="00006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9D7D0" w14:textId="77777777" w:rsidR="000C4D6D" w:rsidRDefault="000C4D6D">
    <w:pPr>
      <w:pStyle w:val="Encabezado"/>
      <w:jc w:val="right"/>
    </w:pPr>
  </w:p>
  <w:p w14:paraId="79E9037A" w14:textId="77777777" w:rsidR="000C4D6D" w:rsidRDefault="000C4D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2911"/>
    <w:multiLevelType w:val="hybridMultilevel"/>
    <w:tmpl w:val="132A9A7C"/>
    <w:lvl w:ilvl="0" w:tplc="326E27E6">
      <w:start w:val="1"/>
      <w:numFmt w:val="lowerLetter"/>
      <w:lvlText w:val="%1."/>
      <w:lvlJc w:val="left"/>
      <w:pPr>
        <w:ind w:left="1004" w:hanging="360"/>
      </w:pPr>
      <w:rPr>
        <w:b/>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 w15:restartNumberingAfterBreak="0">
    <w:nsid w:val="0A2E4188"/>
    <w:multiLevelType w:val="hybridMultilevel"/>
    <w:tmpl w:val="9F10918C"/>
    <w:lvl w:ilvl="0" w:tplc="2C0A0017">
      <w:start w:val="1"/>
      <w:numFmt w:val="low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 w15:restartNumberingAfterBreak="0">
    <w:nsid w:val="0DE409A9"/>
    <w:multiLevelType w:val="hybridMultilevel"/>
    <w:tmpl w:val="B0DC99DC"/>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112A2AE4"/>
    <w:multiLevelType w:val="hybridMultilevel"/>
    <w:tmpl w:val="385CAD1C"/>
    <w:lvl w:ilvl="0" w:tplc="7346D7A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6947386"/>
    <w:multiLevelType w:val="hybridMultilevel"/>
    <w:tmpl w:val="0F50ED52"/>
    <w:lvl w:ilvl="0" w:tplc="ECC02042">
      <w:start w:val="1"/>
      <w:numFmt w:val="decimal"/>
      <w:lvlText w:val="%1."/>
      <w:lvlJc w:val="left"/>
      <w:pPr>
        <w:ind w:left="36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AD054F0"/>
    <w:multiLevelType w:val="hybridMultilevel"/>
    <w:tmpl w:val="94EEE38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0A2220E"/>
    <w:multiLevelType w:val="hybridMultilevel"/>
    <w:tmpl w:val="26F4C68C"/>
    <w:lvl w:ilvl="0" w:tplc="99D8A058">
      <w:start w:val="1"/>
      <w:numFmt w:val="lowerLetter"/>
      <w:lvlText w:val="%1."/>
      <w:lvlJc w:val="left"/>
      <w:pPr>
        <w:ind w:left="1004" w:hanging="360"/>
      </w:pPr>
      <w:rPr>
        <w:b/>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7" w15:restartNumberingAfterBreak="0">
    <w:nsid w:val="2121370A"/>
    <w:multiLevelType w:val="hybridMultilevel"/>
    <w:tmpl w:val="3196D58E"/>
    <w:lvl w:ilvl="0" w:tplc="3258B666">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1BC6C91"/>
    <w:multiLevelType w:val="multilevel"/>
    <w:tmpl w:val="789E9F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EA6521"/>
    <w:multiLevelType w:val="hybridMultilevel"/>
    <w:tmpl w:val="DB6E8DA0"/>
    <w:lvl w:ilvl="0" w:tplc="95BCCED0">
      <w:start w:val="1"/>
      <w:numFmt w:val="lowerLetter"/>
      <w:lvlText w:val="%1."/>
      <w:lvlJc w:val="left"/>
      <w:pPr>
        <w:ind w:left="1440" w:hanging="360"/>
      </w:pPr>
      <w:rPr>
        <w:b/>
        <w:color w:val="auto"/>
      </w:r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0" w15:restartNumberingAfterBreak="0">
    <w:nsid w:val="3E465372"/>
    <w:multiLevelType w:val="hybridMultilevel"/>
    <w:tmpl w:val="65922C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D520844"/>
    <w:multiLevelType w:val="hybridMultilevel"/>
    <w:tmpl w:val="476673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52640D61"/>
    <w:multiLevelType w:val="hybridMultilevel"/>
    <w:tmpl w:val="6CD24B4A"/>
    <w:lvl w:ilvl="0" w:tplc="7346D7A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527E7E74"/>
    <w:multiLevelType w:val="hybridMultilevel"/>
    <w:tmpl w:val="1ACA3C92"/>
    <w:lvl w:ilvl="0" w:tplc="8F7640D2">
      <w:start w:val="10"/>
      <w:numFmt w:val="bullet"/>
      <w:lvlText w:val="-"/>
      <w:lvlJc w:val="left"/>
      <w:pPr>
        <w:ind w:left="720" w:hanging="360"/>
      </w:pPr>
      <w:rPr>
        <w:rFonts w:ascii="Times New Roman" w:eastAsia="Times New Roman" w:hAnsi="Times New Roman" w:cs="Times New Roman" w:hint="default"/>
        <w:b/>
        <w:sz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C63128F"/>
    <w:multiLevelType w:val="hybridMultilevel"/>
    <w:tmpl w:val="F6BC2916"/>
    <w:lvl w:ilvl="0" w:tplc="BD0C259E">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D7A4D3D"/>
    <w:multiLevelType w:val="hybridMultilevel"/>
    <w:tmpl w:val="9AAA072C"/>
    <w:lvl w:ilvl="0" w:tplc="5E740DA0">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4BF5099"/>
    <w:multiLevelType w:val="hybridMultilevel"/>
    <w:tmpl w:val="D9AAF19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87653FB"/>
    <w:multiLevelType w:val="hybridMultilevel"/>
    <w:tmpl w:val="3D46089C"/>
    <w:lvl w:ilvl="0" w:tplc="8F649C36">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69484F9B"/>
    <w:multiLevelType w:val="hybridMultilevel"/>
    <w:tmpl w:val="4126D0E4"/>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 w15:restartNumberingAfterBreak="0">
    <w:nsid w:val="71D552B7"/>
    <w:multiLevelType w:val="hybridMultilevel"/>
    <w:tmpl w:val="338E41EC"/>
    <w:lvl w:ilvl="0" w:tplc="6020220C">
      <w:start w:val="1"/>
      <w:numFmt w:val="decimal"/>
      <w:lvlText w:val="%1."/>
      <w:lvlJc w:val="left"/>
      <w:pPr>
        <w:ind w:left="720" w:hanging="360"/>
      </w:pPr>
      <w:rPr>
        <w:rFonts w:eastAsia="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794C303A"/>
    <w:multiLevelType w:val="hybridMultilevel"/>
    <w:tmpl w:val="C4A43DE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7DB132E1"/>
    <w:multiLevelType w:val="hybridMultilevel"/>
    <w:tmpl w:val="59C2CD5A"/>
    <w:lvl w:ilvl="0" w:tplc="13063EE4">
      <w:start w:val="1"/>
      <w:numFmt w:val="lowerLetter"/>
      <w:lvlText w:val="%1."/>
      <w:lvlJc w:val="left"/>
      <w:pPr>
        <w:ind w:left="1440" w:hanging="360"/>
      </w:pPr>
      <w:rPr>
        <w:b/>
      </w:rPr>
    </w:lvl>
    <w:lvl w:ilvl="1" w:tplc="2C0A001B">
      <w:start w:val="1"/>
      <w:numFmt w:val="lowerRoman"/>
      <w:lvlText w:val="%2."/>
      <w:lvlJc w:val="righ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10"/>
  </w:num>
  <w:num w:numId="2">
    <w:abstractNumId w:val="11"/>
  </w:num>
  <w:num w:numId="3">
    <w:abstractNumId w:val="13"/>
  </w:num>
  <w:num w:numId="4">
    <w:abstractNumId w:val="8"/>
  </w:num>
  <w:num w:numId="5">
    <w:abstractNumId w:val="4"/>
  </w:num>
  <w:num w:numId="6">
    <w:abstractNumId w:val="15"/>
  </w:num>
  <w:num w:numId="7">
    <w:abstractNumId w:val="7"/>
  </w:num>
  <w:num w:numId="8">
    <w:abstractNumId w:val="14"/>
  </w:num>
  <w:num w:numId="9">
    <w:abstractNumId w:val="19"/>
  </w:num>
  <w:num w:numId="10">
    <w:abstractNumId w:val="5"/>
  </w:num>
  <w:num w:numId="11">
    <w:abstractNumId w:val="6"/>
  </w:num>
  <w:num w:numId="12">
    <w:abstractNumId w:val="0"/>
  </w:num>
  <w:num w:numId="13">
    <w:abstractNumId w:val="20"/>
  </w:num>
  <w:num w:numId="14">
    <w:abstractNumId w:val="17"/>
  </w:num>
  <w:num w:numId="15">
    <w:abstractNumId w:val="3"/>
  </w:num>
  <w:num w:numId="16">
    <w:abstractNumId w:val="12"/>
  </w:num>
  <w:num w:numId="17">
    <w:abstractNumId w:val="16"/>
  </w:num>
  <w:num w:numId="18">
    <w:abstractNumId w:val="18"/>
  </w:num>
  <w:num w:numId="19">
    <w:abstractNumId w:val="9"/>
  </w:num>
  <w:num w:numId="20">
    <w:abstractNumId w:val="1"/>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BC"/>
    <w:rsid w:val="000002C0"/>
    <w:rsid w:val="000068BC"/>
    <w:rsid w:val="0001535C"/>
    <w:rsid w:val="000156DD"/>
    <w:rsid w:val="0005272C"/>
    <w:rsid w:val="00062914"/>
    <w:rsid w:val="000700B8"/>
    <w:rsid w:val="00075299"/>
    <w:rsid w:val="000941C9"/>
    <w:rsid w:val="000C00F4"/>
    <w:rsid w:val="000C4B24"/>
    <w:rsid w:val="000C4D6D"/>
    <w:rsid w:val="000D2521"/>
    <w:rsid w:val="000E288C"/>
    <w:rsid w:val="000E3D18"/>
    <w:rsid w:val="000F1A6E"/>
    <w:rsid w:val="00172F1F"/>
    <w:rsid w:val="00175BB9"/>
    <w:rsid w:val="001824CC"/>
    <w:rsid w:val="00193D27"/>
    <w:rsid w:val="001959EA"/>
    <w:rsid w:val="001A46F6"/>
    <w:rsid w:val="001A4DA9"/>
    <w:rsid w:val="001C0926"/>
    <w:rsid w:val="001D38B0"/>
    <w:rsid w:val="001D6FB0"/>
    <w:rsid w:val="001D76E7"/>
    <w:rsid w:val="001E5604"/>
    <w:rsid w:val="00221AA1"/>
    <w:rsid w:val="00237A6A"/>
    <w:rsid w:val="00241246"/>
    <w:rsid w:val="00265184"/>
    <w:rsid w:val="002B4E75"/>
    <w:rsid w:val="002C2173"/>
    <w:rsid w:val="002C7940"/>
    <w:rsid w:val="002E1370"/>
    <w:rsid w:val="002F7724"/>
    <w:rsid w:val="0030171E"/>
    <w:rsid w:val="00306DF0"/>
    <w:rsid w:val="00317198"/>
    <w:rsid w:val="00317CA6"/>
    <w:rsid w:val="00321032"/>
    <w:rsid w:val="00353BA9"/>
    <w:rsid w:val="00371CF1"/>
    <w:rsid w:val="003728EC"/>
    <w:rsid w:val="00392DF0"/>
    <w:rsid w:val="003B40EB"/>
    <w:rsid w:val="003B5365"/>
    <w:rsid w:val="003C1B47"/>
    <w:rsid w:val="003C25FE"/>
    <w:rsid w:val="003D0451"/>
    <w:rsid w:val="003E67C5"/>
    <w:rsid w:val="00453842"/>
    <w:rsid w:val="00456DB3"/>
    <w:rsid w:val="00460448"/>
    <w:rsid w:val="004A062C"/>
    <w:rsid w:val="004A3341"/>
    <w:rsid w:val="004B3F8A"/>
    <w:rsid w:val="004B5045"/>
    <w:rsid w:val="004E714F"/>
    <w:rsid w:val="00542084"/>
    <w:rsid w:val="005640A4"/>
    <w:rsid w:val="00567694"/>
    <w:rsid w:val="005734C2"/>
    <w:rsid w:val="005B42BD"/>
    <w:rsid w:val="005B7103"/>
    <w:rsid w:val="005D021A"/>
    <w:rsid w:val="005F1FBE"/>
    <w:rsid w:val="00627348"/>
    <w:rsid w:val="00642950"/>
    <w:rsid w:val="00651D77"/>
    <w:rsid w:val="00674FC9"/>
    <w:rsid w:val="00677285"/>
    <w:rsid w:val="006814E2"/>
    <w:rsid w:val="006F1147"/>
    <w:rsid w:val="006F528C"/>
    <w:rsid w:val="007126EC"/>
    <w:rsid w:val="00715915"/>
    <w:rsid w:val="00721AFB"/>
    <w:rsid w:val="007554A4"/>
    <w:rsid w:val="00771587"/>
    <w:rsid w:val="00786022"/>
    <w:rsid w:val="007A26C1"/>
    <w:rsid w:val="007A60FA"/>
    <w:rsid w:val="007C685F"/>
    <w:rsid w:val="007F1720"/>
    <w:rsid w:val="0083528D"/>
    <w:rsid w:val="00843546"/>
    <w:rsid w:val="0084744D"/>
    <w:rsid w:val="00855E24"/>
    <w:rsid w:val="008807DA"/>
    <w:rsid w:val="00893A72"/>
    <w:rsid w:val="00896D81"/>
    <w:rsid w:val="008C0E59"/>
    <w:rsid w:val="008E22B2"/>
    <w:rsid w:val="0092045C"/>
    <w:rsid w:val="00921F50"/>
    <w:rsid w:val="00926C75"/>
    <w:rsid w:val="00940997"/>
    <w:rsid w:val="00957204"/>
    <w:rsid w:val="00964118"/>
    <w:rsid w:val="00976D76"/>
    <w:rsid w:val="00993D77"/>
    <w:rsid w:val="00994229"/>
    <w:rsid w:val="009C3EF4"/>
    <w:rsid w:val="009D16A4"/>
    <w:rsid w:val="009E7555"/>
    <w:rsid w:val="00A0217C"/>
    <w:rsid w:val="00A10C7D"/>
    <w:rsid w:val="00A13713"/>
    <w:rsid w:val="00A17FC0"/>
    <w:rsid w:val="00A27189"/>
    <w:rsid w:val="00A30F6C"/>
    <w:rsid w:val="00A40FE2"/>
    <w:rsid w:val="00A667FB"/>
    <w:rsid w:val="00A86791"/>
    <w:rsid w:val="00A963F0"/>
    <w:rsid w:val="00AC1C7A"/>
    <w:rsid w:val="00B17E47"/>
    <w:rsid w:val="00B422CE"/>
    <w:rsid w:val="00BA3884"/>
    <w:rsid w:val="00BA6A21"/>
    <w:rsid w:val="00BF0F3E"/>
    <w:rsid w:val="00C35C4A"/>
    <w:rsid w:val="00C41A96"/>
    <w:rsid w:val="00C900A9"/>
    <w:rsid w:val="00CB0427"/>
    <w:rsid w:val="00CC7395"/>
    <w:rsid w:val="00D0099D"/>
    <w:rsid w:val="00D03898"/>
    <w:rsid w:val="00D1145F"/>
    <w:rsid w:val="00D2544A"/>
    <w:rsid w:val="00D50517"/>
    <w:rsid w:val="00D76DCA"/>
    <w:rsid w:val="00D82636"/>
    <w:rsid w:val="00DB6255"/>
    <w:rsid w:val="00DC7F90"/>
    <w:rsid w:val="00DD277C"/>
    <w:rsid w:val="00DD6F43"/>
    <w:rsid w:val="00DE163F"/>
    <w:rsid w:val="00E262B7"/>
    <w:rsid w:val="00E3635F"/>
    <w:rsid w:val="00E55A14"/>
    <w:rsid w:val="00EC3AF2"/>
    <w:rsid w:val="00F27A02"/>
    <w:rsid w:val="00F435CF"/>
    <w:rsid w:val="00F4448F"/>
    <w:rsid w:val="00F676A8"/>
    <w:rsid w:val="00FB4F0F"/>
    <w:rsid w:val="00FC1B65"/>
    <w:rsid w:val="00FF67B5"/>
    <w:rsid w:val="00FF71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B9E8"/>
  <w15:docId w15:val="{6197DE4B-FDFE-45D7-84B0-135FC05E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8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1"/>
    <w:rsid w:val="000068BC"/>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0068BC"/>
    <w:rPr>
      <w:rFonts w:eastAsiaTheme="minorEastAsia"/>
      <w:color w:val="5A5A5A" w:themeColor="text1" w:themeTint="A5"/>
      <w:spacing w:val="15"/>
    </w:rPr>
  </w:style>
  <w:style w:type="character" w:customStyle="1" w:styleId="SubttuloCar1">
    <w:name w:val="Subtítulo Car1"/>
    <w:basedOn w:val="Fuentedeprrafopredeter"/>
    <w:link w:val="Subttulo"/>
    <w:rsid w:val="000068BC"/>
    <w:rPr>
      <w:rFonts w:ascii="Tahoma" w:eastAsia="Tahoma" w:hAnsi="Tahoma" w:cs="Tahoma"/>
      <w:i/>
      <w:sz w:val="24"/>
      <w:szCs w:val="24"/>
      <w:lang w:eastAsia="ar-SA"/>
    </w:rPr>
  </w:style>
  <w:style w:type="paragraph" w:styleId="Prrafodelista">
    <w:name w:val="List Paragraph"/>
    <w:basedOn w:val="Normal"/>
    <w:uiPriority w:val="34"/>
    <w:qFormat/>
    <w:rsid w:val="00175BB9"/>
    <w:pPr>
      <w:ind w:left="720"/>
      <w:contextualSpacing/>
    </w:pPr>
  </w:style>
  <w:style w:type="paragraph" w:styleId="Textodeglobo">
    <w:name w:val="Balloon Text"/>
    <w:basedOn w:val="Normal"/>
    <w:link w:val="TextodegloboCar"/>
    <w:uiPriority w:val="99"/>
    <w:semiHidden/>
    <w:unhideWhenUsed/>
    <w:rsid w:val="00BF0F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0F3E"/>
    <w:rPr>
      <w:rFonts w:ascii="Tahoma" w:hAnsi="Tahoma" w:cs="Tahoma"/>
      <w:sz w:val="16"/>
      <w:szCs w:val="16"/>
    </w:rPr>
  </w:style>
  <w:style w:type="paragraph" w:styleId="Encabezado">
    <w:name w:val="header"/>
    <w:basedOn w:val="Normal"/>
    <w:link w:val="EncabezadoCar"/>
    <w:uiPriority w:val="99"/>
    <w:unhideWhenUsed/>
    <w:rsid w:val="008E22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22B2"/>
  </w:style>
  <w:style w:type="paragraph" w:styleId="Piedepgina">
    <w:name w:val="footer"/>
    <w:basedOn w:val="Normal"/>
    <w:link w:val="PiedepginaCar"/>
    <w:uiPriority w:val="99"/>
    <w:unhideWhenUsed/>
    <w:rsid w:val="008E22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22B2"/>
  </w:style>
  <w:style w:type="paragraph" w:customStyle="1" w:styleId="Normal1">
    <w:name w:val="Normal1"/>
    <w:rsid w:val="00BA6A21"/>
    <w:pPr>
      <w:widowControl w:val="0"/>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4448F"/>
    <w:rPr>
      <w:color w:val="0563C1" w:themeColor="hyperlink"/>
      <w:u w:val="single"/>
    </w:rPr>
  </w:style>
  <w:style w:type="paragraph" w:styleId="Sinespaciado">
    <w:name w:val="No Spacing"/>
    <w:uiPriority w:val="1"/>
    <w:qFormat/>
    <w:rsid w:val="00C900A9"/>
    <w:pPr>
      <w:spacing w:after="0" w:line="240" w:lineRule="auto"/>
    </w:pPr>
    <w:rPr>
      <w:rFonts w:ascii="Calibri" w:eastAsia="Calibri" w:hAnsi="Calibri" w:cs="Calibri"/>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2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3" Type="http://schemas.openxmlformats.org/officeDocument/2006/relationships/settings" Target="settings.xml"/><Relationship Id="rId7" Type="http://schemas.openxmlformats.org/officeDocument/2006/relationships/hyperlink" Target="https://www.un.org/sustainabledevelopment/es/objetivos-de-desarrollo-sostenib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6598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florg</dc:creator>
  <cp:keywords/>
  <dc:description/>
  <cp:lastModifiedBy>Roberto Cabaña</cp:lastModifiedBy>
  <cp:revision>2</cp:revision>
  <dcterms:created xsi:type="dcterms:W3CDTF">2024-12-20T13:34:00Z</dcterms:created>
  <dcterms:modified xsi:type="dcterms:W3CDTF">2024-12-20T13:34:00Z</dcterms:modified>
</cp:coreProperties>
</file>