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F4" w:rsidRPr="00494AA8" w:rsidRDefault="00AD0ED2" w:rsidP="00AD0ED2">
      <w:pPr>
        <w:spacing w:line="360" w:lineRule="auto"/>
        <w:jc w:val="center"/>
        <w:rPr>
          <w:rFonts w:ascii="Times New Roman" w:eastAsia="Times New Roman" w:hAnsi="Times New Roman" w:cs="Times New Roman"/>
          <w:b/>
          <w:sz w:val="28"/>
          <w:szCs w:val="28"/>
          <w:u w:val="single"/>
        </w:rPr>
      </w:pPr>
      <w:r w:rsidRPr="00494AA8">
        <w:rPr>
          <w:rFonts w:ascii="Times New Roman" w:eastAsia="Times New Roman" w:hAnsi="Times New Roman" w:cs="Times New Roman"/>
          <w:b/>
          <w:sz w:val="28"/>
          <w:szCs w:val="28"/>
          <w:u w:val="single"/>
        </w:rPr>
        <w:t xml:space="preserve">GRILLA EVALUACIÓN PARA </w:t>
      </w:r>
      <w:r>
        <w:rPr>
          <w:rFonts w:ascii="Times New Roman" w:eastAsia="Times New Roman" w:hAnsi="Times New Roman" w:cs="Times New Roman"/>
          <w:b/>
          <w:sz w:val="28"/>
          <w:szCs w:val="28"/>
          <w:u w:val="single"/>
        </w:rPr>
        <w:t xml:space="preserve">LA ADQUISICIÓN DE </w:t>
      </w:r>
      <w:r w:rsidRPr="00494AA8">
        <w:rPr>
          <w:rFonts w:ascii="Times New Roman" w:eastAsia="Times New Roman" w:hAnsi="Times New Roman" w:cs="Times New Roman"/>
          <w:b/>
          <w:sz w:val="28"/>
          <w:szCs w:val="28"/>
          <w:u w:val="single"/>
        </w:rPr>
        <w:t>AUDÍFONOS</w:t>
      </w:r>
    </w:p>
    <w:p w:rsidR="006042E8" w:rsidRDefault="006042E8">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6042E8" w:rsidRPr="001428D3" w:rsidTr="00B67D6C">
        <w:trPr>
          <w:trHeight w:val="649"/>
          <w:jc w:val="center"/>
        </w:trPr>
        <w:tc>
          <w:tcPr>
            <w:tcW w:w="5954"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416"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6042E8" w:rsidRPr="001428D3" w:rsidTr="00B67D6C">
        <w:trPr>
          <w:trHeight w:val="649"/>
          <w:jc w:val="center"/>
        </w:trPr>
        <w:tc>
          <w:tcPr>
            <w:tcW w:w="5954" w:type="dxa"/>
            <w:shd w:val="clear" w:color="auto" w:fill="auto"/>
            <w:tcMar>
              <w:top w:w="15" w:type="dxa"/>
              <w:left w:w="15" w:type="dxa"/>
              <w:bottom w:w="0" w:type="dxa"/>
              <w:right w:w="15" w:type="dxa"/>
            </w:tcMar>
            <w:vAlign w:val="center"/>
          </w:tcPr>
          <w:p w:rsidR="006042E8" w:rsidRPr="0019174E" w:rsidRDefault="006042E8" w:rsidP="006042E8">
            <w:pPr>
              <w:pStyle w:val="Prrafodelista"/>
              <w:numPr>
                <w:ilvl w:val="0"/>
                <w:numId w:val="1"/>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                                            (5</w:t>
            </w:r>
            <w:r w:rsidRPr="0019174E">
              <w:rPr>
                <w:rFonts w:ascii="Times New Roman" w:eastAsia="Times New Roman" w:hAnsi="Times New Roman" w:cs="Times New Roman"/>
                <w:color w:val="000000"/>
              </w:rPr>
              <w:t>)</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416" w:type="dxa"/>
            <w:shd w:val="clear" w:color="auto" w:fill="auto"/>
            <w:tcMar>
              <w:top w:w="15" w:type="dxa"/>
              <w:left w:w="15" w:type="dxa"/>
              <w:bottom w:w="0" w:type="dxa"/>
              <w:right w:w="15" w:type="dxa"/>
            </w:tcMar>
            <w:vAlign w:val="center"/>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r>
      <w:tr w:rsidR="006042E8" w:rsidRPr="001428D3" w:rsidTr="00B67D6C">
        <w:trPr>
          <w:trHeight w:val="591"/>
          <w:jc w:val="center"/>
        </w:trPr>
        <w:tc>
          <w:tcPr>
            <w:tcW w:w="5954" w:type="dxa"/>
            <w:shd w:val="clear" w:color="auto" w:fill="auto"/>
            <w:tcMar>
              <w:top w:w="15" w:type="dxa"/>
              <w:left w:w="15" w:type="dxa"/>
              <w:bottom w:w="0" w:type="dxa"/>
              <w:right w:w="15" w:type="dxa"/>
            </w:tcMar>
            <w:vAlign w:val="center"/>
          </w:tcPr>
          <w:p w:rsidR="006042E8" w:rsidRDefault="006042E8" w:rsidP="006042E8">
            <w:pPr>
              <w:pStyle w:val="Prrafodelista"/>
              <w:numPr>
                <w:ilvl w:val="0"/>
                <w:numId w:val="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Indicadores de calidad </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1. Nivel de presión sonora (SPL) </w:t>
            </w:r>
            <w:r>
              <w:rPr>
                <w:rFonts w:ascii="Times New Roman" w:eastAsia="Times New Roman" w:hAnsi="Times New Roman" w:cs="Times New Roman"/>
                <w:b/>
                <w:color w:val="000000"/>
              </w:rPr>
              <w:t xml:space="preserve">          </w:t>
            </w:r>
            <w:r w:rsidR="00172972">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2. Frecuencia de respuesta </w:t>
            </w:r>
            <w:r>
              <w:rPr>
                <w:rFonts w:ascii="Times New Roman" w:eastAsia="Times New Roman" w:hAnsi="Times New Roman" w:cs="Times New Roman"/>
                <w:b/>
                <w:color w:val="000000"/>
              </w:rPr>
              <w:t xml:space="preserve">                    </w:t>
            </w:r>
            <w:r w:rsidR="00172972">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3. Relación señaligeno/ruido (SNR) </w:t>
            </w:r>
            <w:r>
              <w:rPr>
                <w:rFonts w:ascii="Times New Roman" w:eastAsia="Times New Roman" w:hAnsi="Times New Roman" w:cs="Times New Roman"/>
                <w:b/>
                <w:color w:val="000000"/>
              </w:rPr>
              <w:t xml:space="preserve">      </w:t>
            </w:r>
            <w:r w:rsidR="00172972">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4. </w:t>
            </w:r>
            <w:r w:rsidRPr="00E67E77">
              <w:rPr>
                <w:rFonts w:ascii="Times New Roman" w:eastAsia="Times New Roman" w:hAnsi="Times New Roman" w:cs="Times New Roman"/>
                <w:b/>
                <w:bCs/>
                <w:color w:val="000000"/>
              </w:rPr>
              <w:t>Distorsión total de armónicos (THD)</w:t>
            </w:r>
            <w:r w:rsidRPr="00E67E77">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4B0BF3">
              <w:rPr>
                <w:rFonts w:ascii="Times New Roman" w:eastAsia="Times New Roman" w:hAnsi="Times New Roman" w:cs="Times New Roman"/>
                <w:b/>
              </w:rPr>
              <w:t>5.</w:t>
            </w:r>
            <w:r w:rsidRPr="004B0BF3">
              <w:rPr>
                <w:rFonts w:ascii="Times New Roman" w:eastAsia="Times New Roman" w:hAnsi="Times New Roman" w:cs="Times New Roman"/>
              </w:rPr>
              <w:t> </w:t>
            </w:r>
            <w:r w:rsidRPr="004B0BF3">
              <w:rPr>
                <w:rFonts w:ascii="Times New Roman" w:eastAsia="Times New Roman" w:hAnsi="Times New Roman" w:cs="Times New Roman"/>
                <w:b/>
                <w:bCs/>
              </w:rPr>
              <w:t>Tiempo de respuesta</w:t>
            </w:r>
            <w:r w:rsidRPr="001E45C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6. Nivel de ruido de fondo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7. Compatibilidad con dispositivos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(3ptos)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8. Batería y autonomía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p>
          <w:p w:rsidR="006042E8" w:rsidRPr="001E45C3" w:rsidRDefault="00E67E77" w:rsidP="00B67D6C">
            <w:pPr>
              <w:pStyle w:val="Prrafodelista"/>
              <w:spacing w:after="0" w:line="360" w:lineRule="auto"/>
              <w:jc w:val="both"/>
              <w:rPr>
                <w:rFonts w:ascii="Times New Roman" w:eastAsia="Times New Roman" w:hAnsi="Times New Roman" w:cs="Times New Roman"/>
                <w:b/>
                <w:color w:val="000000"/>
              </w:rPr>
            </w:pPr>
            <w:r w:rsidRPr="004B0BF3">
              <w:rPr>
                <w:rFonts w:ascii="Times New Roman" w:eastAsia="Times New Roman" w:hAnsi="Times New Roman" w:cs="Times New Roman"/>
              </w:rPr>
              <w:t>9. </w:t>
            </w:r>
            <w:r w:rsidRPr="004B0BF3">
              <w:rPr>
                <w:rFonts w:ascii="Times New Roman" w:eastAsia="Times New Roman" w:hAnsi="Times New Roman" w:cs="Times New Roman"/>
                <w:b/>
                <w:bCs/>
              </w:rPr>
              <w:t>Peso y comodidad</w:t>
            </w:r>
            <w:r w:rsidRPr="001E45C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(3ptos)</w:t>
            </w:r>
          </w:p>
          <w:p w:rsidR="006042E8" w:rsidRPr="009E3D73" w:rsidRDefault="00E67E77" w:rsidP="00172972">
            <w:pPr>
              <w:pStyle w:val="Prrafodelista"/>
              <w:spacing w:after="0" w:line="360" w:lineRule="auto"/>
              <w:jc w:val="both"/>
              <w:rPr>
                <w:rFonts w:ascii="Times New Roman" w:eastAsia="Times New Roman" w:hAnsi="Times New Roman" w:cs="Times New Roman"/>
                <w:b/>
                <w:color w:val="000000"/>
              </w:rPr>
            </w:pPr>
            <w:r w:rsidRPr="00E67E77">
              <w:rPr>
                <w:rFonts w:ascii="Times New Roman" w:eastAsia="Times New Roman" w:hAnsi="Times New Roman" w:cs="Times New Roman"/>
                <w:b/>
                <w:color w:val="000000"/>
              </w:rPr>
              <w:t xml:space="preserve">10. Certificaciones y estándares </w:t>
            </w:r>
            <w:r>
              <w:rPr>
                <w:rFonts w:ascii="Times New Roman" w:eastAsia="Times New Roman" w:hAnsi="Times New Roman" w:cs="Times New Roman"/>
                <w:b/>
                <w:color w:val="000000"/>
              </w:rPr>
              <w:t xml:space="preserve">             </w:t>
            </w:r>
            <w:r w:rsidR="006042E8" w:rsidRPr="001E45C3">
              <w:rPr>
                <w:rFonts w:ascii="Times New Roman" w:eastAsia="Times New Roman" w:hAnsi="Times New Roman" w:cs="Times New Roman"/>
                <w:b/>
                <w:color w:val="000000"/>
              </w:rPr>
              <w:t>(</w:t>
            </w:r>
            <w:r w:rsidR="00172972">
              <w:rPr>
                <w:rFonts w:ascii="Times New Roman" w:eastAsia="Times New Roman" w:hAnsi="Times New Roman" w:cs="Times New Roman"/>
                <w:b/>
                <w:color w:val="000000"/>
              </w:rPr>
              <w:t>3</w:t>
            </w:r>
            <w:r w:rsidR="006042E8" w:rsidRPr="001E45C3">
              <w:rPr>
                <w:rFonts w:ascii="Times New Roman" w:eastAsia="Times New Roman" w:hAnsi="Times New Roman" w:cs="Times New Roman"/>
                <w:b/>
                <w:color w:val="000000"/>
              </w:rPr>
              <w:t>ptos)</w:t>
            </w:r>
            <w:r w:rsidR="006042E8">
              <w:rPr>
                <w:rFonts w:ascii="Times New Roman" w:eastAsia="Times New Roman" w:hAnsi="Times New Roman" w:cs="Times New Roman"/>
                <w:b/>
                <w:color w:val="000000"/>
              </w:rPr>
              <w:t xml:space="preserve">  </w:t>
            </w:r>
          </w:p>
        </w:tc>
        <w:tc>
          <w:tcPr>
            <w:tcW w:w="1416" w:type="dxa"/>
            <w:shd w:val="clear" w:color="auto" w:fill="auto"/>
            <w:tcMar>
              <w:top w:w="15" w:type="dxa"/>
              <w:left w:w="15" w:type="dxa"/>
              <w:bottom w:w="0" w:type="dxa"/>
              <w:right w:w="15" w:type="dxa"/>
            </w:tcMar>
            <w:vAlign w:val="center"/>
          </w:tcPr>
          <w:p w:rsidR="006042E8" w:rsidRDefault="006042E8"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72972">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3</w:t>
            </w:r>
            <w:r w:rsidR="00172972">
              <w:rPr>
                <w:rFonts w:ascii="Times New Roman" w:eastAsia="Times New Roman" w:hAnsi="Times New Roman" w:cs="Times New Roman"/>
                <w:b/>
                <w:bCs/>
                <w:color w:val="000000"/>
              </w:rPr>
              <w:t>0</w:t>
            </w:r>
          </w:p>
          <w:p w:rsidR="006042E8" w:rsidRPr="001428D3" w:rsidRDefault="006042E8" w:rsidP="00B67D6C">
            <w:pPr>
              <w:spacing w:after="0" w:line="360" w:lineRule="auto"/>
              <w:jc w:val="center"/>
              <w:rPr>
                <w:rFonts w:ascii="Times New Roman" w:eastAsia="Times New Roman" w:hAnsi="Times New Roman" w:cs="Times New Roman"/>
                <w:b/>
                <w:bCs/>
                <w:color w:val="000000"/>
              </w:rPr>
            </w:pPr>
          </w:p>
        </w:tc>
      </w:tr>
      <w:tr w:rsidR="00172972" w:rsidRPr="001428D3" w:rsidTr="00B67D6C">
        <w:trPr>
          <w:trHeight w:val="591"/>
          <w:jc w:val="center"/>
        </w:trPr>
        <w:tc>
          <w:tcPr>
            <w:tcW w:w="5954" w:type="dxa"/>
            <w:shd w:val="clear" w:color="auto" w:fill="auto"/>
            <w:tcMar>
              <w:top w:w="15" w:type="dxa"/>
              <w:left w:w="15" w:type="dxa"/>
              <w:bottom w:w="0" w:type="dxa"/>
              <w:right w:w="15" w:type="dxa"/>
            </w:tcMar>
            <w:vAlign w:val="center"/>
          </w:tcPr>
          <w:p w:rsidR="00172972" w:rsidRDefault="00172972" w:rsidP="006042E8">
            <w:pPr>
              <w:pStyle w:val="Prrafodelista"/>
              <w:numPr>
                <w:ilvl w:val="0"/>
                <w:numId w:val="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Plazo de Entrega</w:t>
            </w:r>
          </w:p>
        </w:tc>
        <w:tc>
          <w:tcPr>
            <w:tcW w:w="1416" w:type="dxa"/>
            <w:shd w:val="clear" w:color="auto" w:fill="auto"/>
            <w:tcMar>
              <w:top w:w="15" w:type="dxa"/>
              <w:left w:w="15" w:type="dxa"/>
              <w:bottom w:w="0" w:type="dxa"/>
              <w:right w:w="15" w:type="dxa"/>
            </w:tcMar>
            <w:vAlign w:val="center"/>
          </w:tcPr>
          <w:p w:rsidR="00172972" w:rsidRDefault="00172972"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w:t>
            </w:r>
          </w:p>
        </w:tc>
      </w:tr>
      <w:tr w:rsidR="006042E8" w:rsidRPr="001428D3" w:rsidTr="00B67D6C">
        <w:trPr>
          <w:trHeight w:val="591"/>
          <w:jc w:val="center"/>
        </w:trPr>
        <w:tc>
          <w:tcPr>
            <w:tcW w:w="5954" w:type="dxa"/>
            <w:shd w:val="clear" w:color="auto" w:fill="auto"/>
            <w:tcMar>
              <w:top w:w="15" w:type="dxa"/>
              <w:left w:w="15" w:type="dxa"/>
              <w:bottom w:w="0" w:type="dxa"/>
              <w:right w:w="15" w:type="dxa"/>
            </w:tcMar>
            <w:vAlign w:val="center"/>
          </w:tcPr>
          <w:p w:rsidR="006042E8" w:rsidRDefault="006042E8" w:rsidP="006042E8">
            <w:pPr>
              <w:pStyle w:val="Prrafodelista"/>
              <w:numPr>
                <w:ilvl w:val="0"/>
                <w:numId w:val="1"/>
              </w:numPr>
              <w:spacing w:after="0" w:line="360" w:lineRule="auto"/>
              <w:jc w:val="both"/>
              <w:rPr>
                <w:rFonts w:ascii="Times New Roman" w:eastAsia="Times New Roman" w:hAnsi="Times New Roman" w:cs="Times New Roman"/>
                <w:b/>
                <w:color w:val="000000"/>
              </w:rPr>
            </w:pPr>
            <w:r w:rsidRPr="00CE3113">
              <w:rPr>
                <w:rFonts w:ascii="Times New Roman" w:eastAsia="Times New Roman" w:hAnsi="Times New Roman" w:cs="Times New Roman"/>
                <w:b/>
                <w:color w:val="000000"/>
              </w:rPr>
              <w:t>Plazo de Garantía</w:t>
            </w:r>
            <w:r>
              <w:rPr>
                <w:rFonts w:ascii="Times New Roman" w:eastAsia="Times New Roman" w:hAnsi="Times New Roman" w:cs="Times New Roman"/>
                <w:b/>
                <w:color w:val="000000"/>
              </w:rPr>
              <w:t xml:space="preserve">                                 </w:t>
            </w:r>
          </w:p>
        </w:tc>
        <w:tc>
          <w:tcPr>
            <w:tcW w:w="1416" w:type="dxa"/>
            <w:shd w:val="clear" w:color="auto" w:fill="auto"/>
            <w:tcMar>
              <w:top w:w="15" w:type="dxa"/>
              <w:left w:w="15" w:type="dxa"/>
              <w:bottom w:w="0" w:type="dxa"/>
              <w:right w:w="15" w:type="dxa"/>
            </w:tcMar>
            <w:vAlign w:val="center"/>
          </w:tcPr>
          <w:p w:rsidR="006042E8" w:rsidRDefault="006042E8"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5</w:t>
            </w:r>
          </w:p>
        </w:tc>
      </w:tr>
      <w:tr w:rsidR="006042E8" w:rsidRPr="001428D3" w:rsidTr="00B67D6C">
        <w:trPr>
          <w:trHeight w:val="649"/>
          <w:jc w:val="center"/>
        </w:trPr>
        <w:tc>
          <w:tcPr>
            <w:tcW w:w="5954" w:type="dxa"/>
            <w:shd w:val="clear" w:color="auto" w:fill="auto"/>
            <w:tcMar>
              <w:top w:w="15" w:type="dxa"/>
              <w:left w:w="15" w:type="dxa"/>
              <w:bottom w:w="0" w:type="dxa"/>
              <w:right w:w="15" w:type="dxa"/>
            </w:tcMar>
            <w:vAlign w:val="center"/>
            <w:hideMark/>
          </w:tcPr>
          <w:p w:rsidR="006042E8" w:rsidRPr="0019174E" w:rsidRDefault="006042E8" w:rsidP="006042E8">
            <w:pPr>
              <w:pStyle w:val="Prrafodelista"/>
              <w:numPr>
                <w:ilvl w:val="0"/>
                <w:numId w:val="1"/>
              </w:numPr>
              <w:spacing w:after="0" w:line="360" w:lineRule="auto"/>
              <w:jc w:val="both"/>
              <w:rPr>
                <w:rFonts w:ascii="Times New Roman" w:eastAsia="Times New Roman" w:hAnsi="Times New Roman" w:cs="Times New Roman"/>
                <w:color w:val="000000"/>
              </w:rPr>
            </w:pPr>
            <w:r w:rsidRPr="0019174E">
              <w:rPr>
                <w:rFonts w:ascii="Times New Roman" w:hAnsi="Times New Roman" w:cs="Times New Roman"/>
                <w:b/>
              </w:rPr>
              <w:t>Acreditación ODS s/ Ley 9193</w:t>
            </w:r>
          </w:p>
        </w:tc>
        <w:tc>
          <w:tcPr>
            <w:tcW w:w="1416"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6042E8" w:rsidRPr="001428D3" w:rsidTr="00B67D6C">
        <w:trPr>
          <w:trHeight w:val="649"/>
          <w:jc w:val="center"/>
        </w:trPr>
        <w:tc>
          <w:tcPr>
            <w:tcW w:w="5954" w:type="dxa"/>
            <w:shd w:val="clear" w:color="auto" w:fill="auto"/>
            <w:tcMar>
              <w:top w:w="15" w:type="dxa"/>
              <w:left w:w="15" w:type="dxa"/>
              <w:bottom w:w="0" w:type="dxa"/>
              <w:right w:w="15" w:type="dxa"/>
            </w:tcMar>
            <w:vAlign w:val="center"/>
          </w:tcPr>
          <w:p w:rsidR="006042E8" w:rsidRPr="0019174E" w:rsidRDefault="006042E8" w:rsidP="006042E8">
            <w:pPr>
              <w:pStyle w:val="Prrafodelista"/>
              <w:numPr>
                <w:ilvl w:val="0"/>
                <w:numId w:val="1"/>
              </w:numPr>
              <w:spacing w:after="0" w:line="360" w:lineRule="auto"/>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Oferta Económica</w:t>
            </w:r>
          </w:p>
        </w:tc>
        <w:tc>
          <w:tcPr>
            <w:tcW w:w="1416" w:type="dxa"/>
            <w:shd w:val="clear" w:color="auto" w:fill="auto"/>
            <w:tcMar>
              <w:top w:w="15" w:type="dxa"/>
              <w:left w:w="15" w:type="dxa"/>
              <w:bottom w:w="0" w:type="dxa"/>
              <w:right w:w="15" w:type="dxa"/>
            </w:tcMar>
            <w:vAlign w:val="center"/>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w:t>
            </w:r>
          </w:p>
        </w:tc>
      </w:tr>
      <w:tr w:rsidR="006042E8" w:rsidRPr="001428D3" w:rsidTr="00B67D6C">
        <w:trPr>
          <w:trHeight w:val="649"/>
          <w:jc w:val="center"/>
        </w:trPr>
        <w:tc>
          <w:tcPr>
            <w:tcW w:w="5954"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1428D3">
              <w:rPr>
                <w:rFonts w:ascii="Times New Roman" w:eastAsia="Times New Roman" w:hAnsi="Times New Roman" w:cs="Times New Roman"/>
                <w:b/>
                <w:bCs/>
                <w:color w:val="000000"/>
              </w:rPr>
              <w:t>TOTAL</w:t>
            </w:r>
          </w:p>
        </w:tc>
        <w:tc>
          <w:tcPr>
            <w:tcW w:w="1416"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rsidR="006042E8" w:rsidRDefault="006042E8">
      <w:pPr>
        <w:rPr>
          <w:rFonts w:ascii="Times New Roman" w:hAnsi="Times New Roman" w:cs="Times New Roman"/>
          <w:sz w:val="24"/>
          <w:szCs w:val="24"/>
        </w:rPr>
      </w:pPr>
    </w:p>
    <w:p w:rsidR="006042E8" w:rsidRPr="00E67E77" w:rsidRDefault="00E67E77" w:rsidP="006042E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6042E8" w:rsidRPr="00E67E77">
        <w:rPr>
          <w:rFonts w:ascii="Times New Roman" w:hAnsi="Times New Roman" w:cs="Times New Roman"/>
          <w:b/>
          <w:sz w:val="24"/>
          <w:szCs w:val="24"/>
        </w:rPr>
        <w:t xml:space="preserve">ANTECEDENTES </w:t>
      </w:r>
    </w:p>
    <w:p w:rsidR="006042E8" w:rsidRPr="006042E8" w:rsidRDefault="006042E8" w:rsidP="006042E8">
      <w:pPr>
        <w:jc w:val="both"/>
        <w:rPr>
          <w:rFonts w:ascii="Times New Roman" w:hAnsi="Times New Roman" w:cs="Times New Roman"/>
          <w:sz w:val="24"/>
          <w:szCs w:val="24"/>
        </w:rPr>
      </w:pPr>
      <w:r>
        <w:rPr>
          <w:rFonts w:ascii="Times New Roman" w:hAnsi="Times New Roman" w:cs="Times New Roman"/>
          <w:b/>
          <w:sz w:val="24"/>
          <w:szCs w:val="24"/>
        </w:rPr>
        <w:t xml:space="preserve">a. </w:t>
      </w:r>
      <w:r w:rsidRPr="006042E8">
        <w:rPr>
          <w:rFonts w:ascii="Times New Roman" w:hAnsi="Times New Roman" w:cs="Times New Roman"/>
          <w:sz w:val="24"/>
          <w:szCs w:val="24"/>
        </w:rPr>
        <w:t>Contractuales: Se calificará con el máximo puntaje previsto (5 puntos) a los oferentes que no posean antecedentes en el Registro Único de Proveedores de Mendoza, de penalidades o sanciones aplicadas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lastRenderedPageBreak/>
        <w:t>En caso de oferentes que no posean en el Registro Único de Proveedores una inscripción vigente en dicho período, también serán calificados con el máximo puntaje (5 puntos), salvo que posean sanciones impuestas en el mismo plazo por organismos y/o registros de proveedores de otras jurisdicciones (Nacional, Provincial, Municipal).</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Se calificará con 3 puntos a los oferentes que posean sanciones de apercibimiento dentro del año calendario anterior a la fecha de apertura de ofertas, inscriptas en el Registro Único de Proveedores de Mendoza u otros de otra jurisdicción Nacional, Provincial o Municipal. </w:t>
      </w:r>
    </w:p>
    <w:p w:rsidR="006042E8" w:rsidRPr="006042E8" w:rsidRDefault="006042E8" w:rsidP="006042E8">
      <w:pPr>
        <w:jc w:val="both"/>
        <w:rPr>
          <w:rFonts w:ascii="Times New Roman" w:hAnsi="Times New Roman" w:cs="Times New Roman"/>
          <w:sz w:val="24"/>
          <w:szCs w:val="24"/>
        </w:rPr>
      </w:pP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A los efectos de la evaluación se considerará la información publicada por el Registro Único de Proveedores Provincial y demás Organismos que administren dichos datos a nivel Nacional, Provincial y Municipal.</w:t>
      </w:r>
    </w:p>
    <w:p w:rsidR="006042E8" w:rsidRPr="006042E8" w:rsidRDefault="006042E8" w:rsidP="006042E8">
      <w:pPr>
        <w:jc w:val="both"/>
        <w:rPr>
          <w:rFonts w:ascii="Times New Roman" w:hAnsi="Times New Roman" w:cs="Times New Roman"/>
          <w:sz w:val="24"/>
          <w:szCs w:val="24"/>
        </w:rPr>
      </w:pPr>
    </w:p>
    <w:p w:rsidR="006042E8" w:rsidRDefault="006042E8" w:rsidP="006042E8">
      <w:pPr>
        <w:jc w:val="both"/>
        <w:rPr>
          <w:rFonts w:ascii="Times New Roman" w:hAnsi="Times New Roman" w:cs="Times New Roman"/>
          <w:sz w:val="24"/>
          <w:szCs w:val="24"/>
        </w:rPr>
      </w:pPr>
      <w:r w:rsidRPr="00E67E77">
        <w:rPr>
          <w:rFonts w:ascii="Times New Roman" w:hAnsi="Times New Roman" w:cs="Times New Roman"/>
          <w:b/>
          <w:sz w:val="24"/>
          <w:szCs w:val="24"/>
        </w:rPr>
        <w:t>b.</w:t>
      </w:r>
      <w:r w:rsidR="00E67E77">
        <w:rPr>
          <w:rFonts w:ascii="Times New Roman" w:hAnsi="Times New Roman" w:cs="Times New Roman"/>
          <w:sz w:val="24"/>
          <w:szCs w:val="24"/>
        </w:rPr>
        <w:t xml:space="preserve"> </w:t>
      </w:r>
      <w:r w:rsidRPr="006042E8">
        <w:rPr>
          <w:rFonts w:ascii="Times New Roman" w:hAnsi="Times New Roman" w:cs="Times New Roman"/>
          <w:sz w:val="24"/>
          <w:szCs w:val="24"/>
        </w:rPr>
        <w:t>Comerciales: 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dos años anteriores a la publicación de la presente contratación pública. Las demás ofertas serán calificadas con el criterio de proporcionalidad, en función de los antecedentes acompañados.</w:t>
      </w:r>
    </w:p>
    <w:p w:rsidR="00172972" w:rsidRDefault="00172972" w:rsidP="006042E8">
      <w:pPr>
        <w:jc w:val="both"/>
        <w:rPr>
          <w:rFonts w:ascii="Times New Roman" w:hAnsi="Times New Roman" w:cs="Times New Roman"/>
          <w:sz w:val="24"/>
          <w:szCs w:val="24"/>
        </w:rPr>
      </w:pPr>
    </w:p>
    <w:p w:rsidR="00172972" w:rsidRPr="006042E8" w:rsidRDefault="00172972" w:rsidP="006042E8">
      <w:pPr>
        <w:jc w:val="both"/>
        <w:rPr>
          <w:rFonts w:ascii="Times New Roman" w:hAnsi="Times New Roman" w:cs="Times New Roman"/>
          <w:sz w:val="24"/>
          <w:szCs w:val="24"/>
        </w:rPr>
      </w:pPr>
    </w:p>
    <w:p w:rsidR="006042E8"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172972" w:rsidRDefault="00172972" w:rsidP="006042E8">
      <w:pPr>
        <w:jc w:val="both"/>
        <w:rPr>
          <w:rFonts w:ascii="Times New Roman" w:hAnsi="Times New Roman" w:cs="Times New Roman"/>
          <w:b/>
          <w:sz w:val="24"/>
          <w:szCs w:val="24"/>
        </w:rPr>
      </w:pPr>
    </w:p>
    <w:p w:rsidR="00172972" w:rsidRDefault="00172972" w:rsidP="006042E8">
      <w:pPr>
        <w:jc w:val="both"/>
        <w:rPr>
          <w:rFonts w:ascii="Times New Roman" w:hAnsi="Times New Roman" w:cs="Times New Roman"/>
          <w:b/>
          <w:sz w:val="24"/>
          <w:szCs w:val="24"/>
        </w:rPr>
      </w:pPr>
    </w:p>
    <w:p w:rsidR="00172972" w:rsidRDefault="00172972" w:rsidP="006042E8">
      <w:pPr>
        <w:jc w:val="both"/>
        <w:rPr>
          <w:rFonts w:ascii="Times New Roman" w:hAnsi="Times New Roman" w:cs="Times New Roman"/>
          <w:b/>
          <w:sz w:val="24"/>
          <w:szCs w:val="24"/>
        </w:rPr>
      </w:pPr>
    </w:p>
    <w:p w:rsidR="00172972" w:rsidRPr="006042E8" w:rsidRDefault="00172972" w:rsidP="006042E8">
      <w:pPr>
        <w:jc w:val="both"/>
        <w:rPr>
          <w:rFonts w:ascii="Times New Roman" w:hAnsi="Times New Roman" w:cs="Times New Roman"/>
          <w:b/>
          <w:sz w:val="24"/>
          <w:szCs w:val="24"/>
        </w:rPr>
      </w:pPr>
    </w:p>
    <w:p w:rsidR="00172972" w:rsidRDefault="00172972" w:rsidP="00172972">
      <w:pPr>
        <w:spacing w:line="360" w:lineRule="auto"/>
        <w:contextualSpacing/>
        <w:jc w:val="both"/>
        <w:rPr>
          <w:rFonts w:ascii="Times New Roman" w:eastAsia="Times New Roman" w:hAnsi="Times New Roman" w:cs="Times New Roman"/>
          <w:b/>
          <w:sz w:val="24"/>
          <w:szCs w:val="24"/>
          <w:u w:val="single"/>
          <w:lang w:val="es-419" w:eastAsia="es-AR"/>
        </w:rPr>
      </w:pPr>
    </w:p>
    <w:p w:rsidR="00172972" w:rsidRDefault="00172972" w:rsidP="00172972">
      <w:pPr>
        <w:spacing w:line="360" w:lineRule="auto"/>
        <w:contextualSpacing/>
        <w:jc w:val="both"/>
        <w:rPr>
          <w:rFonts w:ascii="Times New Roman" w:eastAsia="Times New Roman" w:hAnsi="Times New Roman" w:cs="Times New Roman"/>
          <w:b/>
          <w:sz w:val="24"/>
          <w:szCs w:val="24"/>
          <w:u w:val="single"/>
          <w:lang w:val="es-419" w:eastAsia="es-AR"/>
        </w:rPr>
      </w:pPr>
    </w:p>
    <w:p w:rsidR="00E67E77" w:rsidRPr="00E67E77" w:rsidRDefault="00E67E77" w:rsidP="00172972">
      <w:pPr>
        <w:spacing w:line="360" w:lineRule="auto"/>
        <w:contextualSpacing/>
        <w:jc w:val="both"/>
        <w:rPr>
          <w:rFonts w:ascii="Times New Roman" w:eastAsia="Times New Roman" w:hAnsi="Times New Roman" w:cs="Times New Roman"/>
          <w:sz w:val="24"/>
          <w:szCs w:val="24"/>
          <w:lang w:eastAsia="es-AR"/>
        </w:rPr>
      </w:pPr>
      <w:r w:rsidRPr="00E67E77">
        <w:rPr>
          <w:rFonts w:ascii="Times New Roman" w:eastAsia="Times New Roman" w:hAnsi="Times New Roman" w:cs="Times New Roman"/>
          <w:b/>
          <w:sz w:val="24"/>
          <w:szCs w:val="24"/>
          <w:u w:val="single"/>
          <w:lang w:val="es-419" w:eastAsia="es-AR"/>
        </w:rPr>
        <w:t xml:space="preserve">GRILLA MODELO PARA </w:t>
      </w:r>
      <w:r w:rsidR="00172972">
        <w:rPr>
          <w:rFonts w:ascii="Times New Roman" w:eastAsia="Times New Roman" w:hAnsi="Times New Roman" w:cs="Times New Roman"/>
          <w:b/>
          <w:sz w:val="24"/>
          <w:szCs w:val="24"/>
          <w:u w:val="single"/>
          <w:lang w:val="es-419" w:eastAsia="es-AR"/>
        </w:rPr>
        <w:t xml:space="preserve">COMPRA DE AUDIFONOS </w:t>
      </w:r>
      <w:r w:rsidRPr="00E67E77">
        <w:rPr>
          <w:rFonts w:ascii="Times New Roman" w:eastAsia="Times New Roman" w:hAnsi="Times New Roman" w:cs="Times New Roman"/>
          <w:b/>
          <w:sz w:val="24"/>
          <w:szCs w:val="24"/>
          <w:lang w:val="es-419" w:eastAsia="es-AR"/>
        </w:rPr>
        <w:t xml:space="preserve"> (SUGERIDA)</w:t>
      </w:r>
    </w:p>
    <w:p w:rsidR="006042E8" w:rsidRDefault="006042E8" w:rsidP="006042E8">
      <w:pPr>
        <w:jc w:val="both"/>
        <w:rPr>
          <w:rFonts w:ascii="Times New Roman" w:hAnsi="Times New Roman" w:cs="Times New Roman"/>
          <w:sz w:val="24"/>
          <w:szCs w:val="24"/>
        </w:rPr>
      </w:pPr>
    </w:p>
    <w:p w:rsidR="00E67E77" w:rsidRPr="00172972" w:rsidRDefault="00172972" w:rsidP="00172972">
      <w:pPr>
        <w:spacing w:after="0" w:line="360" w:lineRule="auto"/>
        <w:ind w:left="426"/>
        <w:jc w:val="both"/>
        <w:rPr>
          <w:rFonts w:ascii="Times New Roman" w:hAnsi="Times New Roman" w:cs="Times New Roman"/>
          <w:b/>
        </w:rPr>
      </w:pPr>
      <w:r w:rsidRPr="00172972">
        <w:rPr>
          <w:rFonts w:ascii="Times New Roman" w:hAnsi="Times New Roman" w:cs="Times New Roman"/>
          <w:b/>
        </w:rPr>
        <w:t xml:space="preserve">2.  </w:t>
      </w:r>
      <w:r w:rsidR="00E67E77" w:rsidRPr="00172972">
        <w:rPr>
          <w:rFonts w:ascii="Times New Roman" w:hAnsi="Times New Roman" w:cs="Times New Roman"/>
          <w:b/>
        </w:rPr>
        <w:t xml:space="preserve">INDICADORES DE CALIDAD </w:t>
      </w:r>
    </w:p>
    <w:p w:rsidR="00E67E77" w:rsidRPr="006042E8" w:rsidRDefault="00E67E77" w:rsidP="006042E8">
      <w:pPr>
        <w:jc w:val="both"/>
        <w:rPr>
          <w:rFonts w:ascii="Times New Roman" w:hAnsi="Times New Roman" w:cs="Times New Roman"/>
          <w:sz w:val="24"/>
          <w:szCs w:val="24"/>
        </w:rPr>
      </w:pPr>
    </w:p>
    <w:tbl>
      <w:tblPr>
        <w:tblW w:w="8642" w:type="dxa"/>
        <w:tblLayout w:type="fixed"/>
        <w:tblCellMar>
          <w:left w:w="70" w:type="dxa"/>
          <w:right w:w="70" w:type="dxa"/>
        </w:tblCellMar>
        <w:tblLook w:val="04A0" w:firstRow="1" w:lastRow="0" w:firstColumn="1" w:lastColumn="0" w:noHBand="0" w:noVBand="1"/>
      </w:tblPr>
      <w:tblGrid>
        <w:gridCol w:w="2405"/>
        <w:gridCol w:w="1985"/>
        <w:gridCol w:w="1417"/>
        <w:gridCol w:w="1418"/>
        <w:gridCol w:w="1417"/>
      </w:tblGrid>
      <w:tr w:rsidR="006042E8" w:rsidRPr="006042E8" w:rsidTr="00F321F4">
        <w:trPr>
          <w:trHeight w:val="510"/>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BF3" w:rsidRPr="004B0BF3" w:rsidRDefault="004B0BF3" w:rsidP="006042E8">
            <w:pPr>
              <w:spacing w:after="0" w:line="240" w:lineRule="auto"/>
              <w:jc w:val="both"/>
              <w:rPr>
                <w:rFonts w:ascii="Times New Roman" w:eastAsia="Times New Roman" w:hAnsi="Times New Roman" w:cs="Times New Roman"/>
                <w:b/>
                <w:bCs/>
                <w:sz w:val="24"/>
                <w:szCs w:val="24"/>
                <w:lang w:eastAsia="es-AR"/>
              </w:rPr>
            </w:pPr>
            <w:r w:rsidRPr="004B0BF3">
              <w:rPr>
                <w:rFonts w:ascii="Times New Roman" w:eastAsia="Times New Roman" w:hAnsi="Times New Roman" w:cs="Times New Roman"/>
                <w:b/>
                <w:bCs/>
                <w:sz w:val="24"/>
                <w:szCs w:val="24"/>
                <w:lang w:eastAsia="es-AR"/>
              </w:rPr>
              <w:t>Índice de calidad</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B0BF3" w:rsidRPr="004B0BF3" w:rsidRDefault="004B0BF3" w:rsidP="006042E8">
            <w:pPr>
              <w:spacing w:after="0" w:line="240" w:lineRule="auto"/>
              <w:jc w:val="both"/>
              <w:rPr>
                <w:rFonts w:ascii="Times New Roman" w:eastAsia="Times New Roman" w:hAnsi="Times New Roman" w:cs="Times New Roman"/>
                <w:b/>
                <w:bCs/>
                <w:sz w:val="24"/>
                <w:szCs w:val="24"/>
                <w:lang w:eastAsia="es-AR"/>
              </w:rPr>
            </w:pPr>
            <w:r w:rsidRPr="004B0BF3">
              <w:rPr>
                <w:rFonts w:ascii="Times New Roman" w:eastAsia="Times New Roman" w:hAnsi="Times New Roman" w:cs="Times New Roman"/>
                <w:b/>
                <w:bCs/>
                <w:sz w:val="24"/>
                <w:szCs w:val="24"/>
                <w:lang w:eastAsia="es-AR"/>
              </w:rPr>
              <w:t>Descripción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b/>
                <w:bCs/>
                <w:sz w:val="24"/>
                <w:szCs w:val="24"/>
                <w:lang w:eastAsia="es-AR"/>
              </w:rPr>
            </w:pPr>
            <w:r w:rsidRPr="004B0BF3">
              <w:rPr>
                <w:rFonts w:ascii="Times New Roman" w:eastAsia="Times New Roman" w:hAnsi="Times New Roman" w:cs="Times New Roman"/>
                <w:b/>
                <w:bCs/>
                <w:sz w:val="24"/>
                <w:szCs w:val="24"/>
                <w:lang w:eastAsia="es-AR"/>
              </w:rPr>
              <w:t>Mínimo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b/>
                <w:bCs/>
                <w:sz w:val="24"/>
                <w:szCs w:val="24"/>
                <w:lang w:eastAsia="es-AR"/>
              </w:rPr>
            </w:pPr>
            <w:r w:rsidRPr="004B0BF3">
              <w:rPr>
                <w:rFonts w:ascii="Times New Roman" w:eastAsia="Times New Roman" w:hAnsi="Times New Roman" w:cs="Times New Roman"/>
                <w:b/>
                <w:bCs/>
                <w:sz w:val="24"/>
                <w:szCs w:val="24"/>
                <w:lang w:eastAsia="es-AR"/>
              </w:rPr>
              <w:t>Máximo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b/>
                <w:bCs/>
                <w:sz w:val="24"/>
                <w:szCs w:val="24"/>
                <w:lang w:eastAsia="es-AR"/>
              </w:rPr>
            </w:pPr>
            <w:r w:rsidRPr="004B0BF3">
              <w:rPr>
                <w:rFonts w:ascii="Times New Roman" w:eastAsia="Times New Roman" w:hAnsi="Times New Roman" w:cs="Times New Roman"/>
                <w:b/>
                <w:bCs/>
                <w:sz w:val="24"/>
                <w:szCs w:val="24"/>
                <w:lang w:eastAsia="es-AR"/>
              </w:rPr>
              <w:t>Unidad de medida</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1. </w:t>
            </w:r>
            <w:r w:rsidRPr="004B0BF3">
              <w:rPr>
                <w:rFonts w:ascii="Times New Roman" w:eastAsia="Times New Roman" w:hAnsi="Times New Roman" w:cs="Times New Roman"/>
                <w:b/>
                <w:bCs/>
                <w:sz w:val="24"/>
                <w:szCs w:val="24"/>
                <w:lang w:eastAsia="es-AR"/>
              </w:rPr>
              <w:t>Nivel de presión sonora (SPL)</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Nivel de sonido máximo que puede producir el audífono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80 dB</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120 dB</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Decibelios (dB)</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2. </w:t>
            </w:r>
            <w:r w:rsidRPr="004B0BF3">
              <w:rPr>
                <w:rFonts w:ascii="Times New Roman" w:eastAsia="Times New Roman" w:hAnsi="Times New Roman" w:cs="Times New Roman"/>
                <w:b/>
                <w:bCs/>
                <w:sz w:val="24"/>
                <w:szCs w:val="24"/>
                <w:lang w:eastAsia="es-AR"/>
              </w:rPr>
              <w:t>Frecuencia de respuesta</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Rango de frecuencias que puede reproducir el audífono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100 Hz</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8000 Hz</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Hertz (Hz)</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3. </w:t>
            </w:r>
            <w:r w:rsidRPr="004B0BF3">
              <w:rPr>
                <w:rFonts w:ascii="Times New Roman" w:eastAsia="Times New Roman" w:hAnsi="Times New Roman" w:cs="Times New Roman"/>
                <w:b/>
                <w:bCs/>
                <w:sz w:val="24"/>
                <w:szCs w:val="24"/>
                <w:lang w:eastAsia="es-AR"/>
              </w:rPr>
              <w:t>Relación señaligeno/ruido (SNR)</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Relación entre la señal de audio y el ruido de fondo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20 dB</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40 dB</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Decibelios (dB)</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4. </w:t>
            </w:r>
            <w:r w:rsidRPr="004B0BF3">
              <w:rPr>
                <w:rFonts w:ascii="Times New Roman" w:eastAsia="Times New Roman" w:hAnsi="Times New Roman" w:cs="Times New Roman"/>
                <w:b/>
                <w:bCs/>
                <w:sz w:val="24"/>
                <w:szCs w:val="24"/>
                <w:lang w:eastAsia="es-AR"/>
              </w:rPr>
              <w:t>Distorsión total de armónicos (THD)</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Porcentaje de distorsión en la señal de audio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0,10%</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1,00%</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Porcentaje (%)</w:t>
            </w:r>
          </w:p>
        </w:tc>
      </w:tr>
      <w:tr w:rsidR="006042E8" w:rsidRPr="006042E8" w:rsidTr="00F321F4">
        <w:trPr>
          <w:trHeight w:val="10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5. </w:t>
            </w:r>
            <w:r w:rsidRPr="004B0BF3">
              <w:rPr>
                <w:rFonts w:ascii="Times New Roman" w:eastAsia="Times New Roman" w:hAnsi="Times New Roman" w:cs="Times New Roman"/>
                <w:b/>
                <w:bCs/>
                <w:sz w:val="24"/>
                <w:szCs w:val="24"/>
                <w:lang w:eastAsia="es-AR"/>
              </w:rPr>
              <w:t>Tiempo de respuesta</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Tiempo que tarda el audífono en responder a un cambio en la señal de audio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10 ms</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50 ms</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Milisegundos (ms)</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6. </w:t>
            </w:r>
            <w:r w:rsidRPr="004B0BF3">
              <w:rPr>
                <w:rFonts w:ascii="Times New Roman" w:eastAsia="Times New Roman" w:hAnsi="Times New Roman" w:cs="Times New Roman"/>
                <w:b/>
                <w:bCs/>
                <w:sz w:val="24"/>
                <w:szCs w:val="24"/>
                <w:lang w:eastAsia="es-AR"/>
              </w:rPr>
              <w:t>Nivel de ruido de fondo</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Nivel de ruido de fondo que puede producir el audífono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20 dB</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40 dB</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Decibelios (dB)</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7. </w:t>
            </w:r>
            <w:r w:rsidRPr="004B0BF3">
              <w:rPr>
                <w:rFonts w:ascii="Times New Roman" w:eastAsia="Times New Roman" w:hAnsi="Times New Roman" w:cs="Times New Roman"/>
                <w:b/>
                <w:bCs/>
                <w:sz w:val="24"/>
                <w:szCs w:val="24"/>
                <w:lang w:eastAsia="es-AR"/>
              </w:rPr>
              <w:t>Compatibilidad con dispositivos</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Número de dispositivos que pueden conectarse al audífono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 dispositivos</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5 dispositivos</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Número de dispositivos</w:t>
            </w:r>
          </w:p>
        </w:tc>
      </w:tr>
      <w:tr w:rsidR="006042E8" w:rsidRPr="006042E8" w:rsidTr="00F321F4">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8. </w:t>
            </w:r>
            <w:r w:rsidRPr="004B0BF3">
              <w:rPr>
                <w:rFonts w:ascii="Times New Roman" w:eastAsia="Times New Roman" w:hAnsi="Times New Roman" w:cs="Times New Roman"/>
                <w:b/>
                <w:bCs/>
                <w:sz w:val="24"/>
                <w:szCs w:val="24"/>
                <w:lang w:eastAsia="es-AR"/>
              </w:rPr>
              <w:t>Batería y autonomía</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Duración de la batería y tiempo de carga</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8 horas</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24 horas</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Horas (h)</w:t>
            </w:r>
          </w:p>
        </w:tc>
      </w:tr>
      <w:tr w:rsidR="006042E8" w:rsidRPr="006042E8" w:rsidTr="00F321F4">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9. </w:t>
            </w:r>
            <w:r w:rsidRPr="004B0BF3">
              <w:rPr>
                <w:rFonts w:ascii="Times New Roman" w:eastAsia="Times New Roman" w:hAnsi="Times New Roman" w:cs="Times New Roman"/>
                <w:b/>
                <w:bCs/>
                <w:sz w:val="24"/>
                <w:szCs w:val="24"/>
                <w:lang w:eastAsia="es-AR"/>
              </w:rPr>
              <w:t>Peso y comodidad</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Peso y comodidad del audífono en el oído</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20 gramos</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50 gramos</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Gramos (g)</w:t>
            </w:r>
          </w:p>
        </w:tc>
      </w:tr>
      <w:tr w:rsidR="006042E8" w:rsidRPr="006042E8" w:rsidTr="00F321F4">
        <w:trPr>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10. </w:t>
            </w:r>
            <w:r w:rsidRPr="004B0BF3">
              <w:rPr>
                <w:rFonts w:ascii="Times New Roman" w:eastAsia="Times New Roman" w:hAnsi="Times New Roman" w:cs="Times New Roman"/>
                <w:b/>
                <w:bCs/>
                <w:sz w:val="24"/>
                <w:szCs w:val="24"/>
                <w:lang w:eastAsia="es-AR"/>
              </w:rPr>
              <w:t>Certificaciones y estándares</w:t>
            </w:r>
          </w:p>
        </w:tc>
        <w:tc>
          <w:tcPr>
            <w:tcW w:w="1985"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Cumplimiento con estándares de calidad y seguridad</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1 certificación</w:t>
            </w:r>
          </w:p>
        </w:tc>
        <w:tc>
          <w:tcPr>
            <w:tcW w:w="1418"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5 certificaciones</w:t>
            </w:r>
          </w:p>
        </w:tc>
        <w:tc>
          <w:tcPr>
            <w:tcW w:w="1417" w:type="dxa"/>
            <w:tcBorders>
              <w:top w:val="nil"/>
              <w:left w:val="nil"/>
              <w:bottom w:val="single" w:sz="4" w:space="0" w:color="auto"/>
              <w:right w:val="single" w:sz="4" w:space="0" w:color="auto"/>
            </w:tcBorders>
            <w:shd w:val="clear" w:color="auto" w:fill="auto"/>
            <w:vAlign w:val="center"/>
            <w:hideMark/>
          </w:tcPr>
          <w:p w:rsidR="004B0BF3" w:rsidRPr="004B0BF3" w:rsidRDefault="004B0BF3" w:rsidP="006042E8">
            <w:pPr>
              <w:spacing w:after="0" w:line="240" w:lineRule="auto"/>
              <w:jc w:val="both"/>
              <w:rPr>
                <w:rFonts w:ascii="Times New Roman" w:eastAsia="Times New Roman" w:hAnsi="Times New Roman" w:cs="Times New Roman"/>
                <w:sz w:val="24"/>
                <w:szCs w:val="24"/>
                <w:lang w:eastAsia="es-AR"/>
              </w:rPr>
            </w:pPr>
            <w:r w:rsidRPr="004B0BF3">
              <w:rPr>
                <w:rFonts w:ascii="Times New Roman" w:eastAsia="Times New Roman" w:hAnsi="Times New Roman" w:cs="Times New Roman"/>
                <w:sz w:val="24"/>
                <w:szCs w:val="24"/>
                <w:lang w:eastAsia="es-AR"/>
              </w:rPr>
              <w:t>Número de certificaciones</w:t>
            </w:r>
          </w:p>
        </w:tc>
      </w:tr>
    </w:tbl>
    <w:p w:rsidR="004B0BF3" w:rsidRPr="006042E8" w:rsidRDefault="004B0BF3" w:rsidP="006042E8">
      <w:pPr>
        <w:jc w:val="both"/>
        <w:rPr>
          <w:rFonts w:ascii="Times New Roman" w:hAnsi="Times New Roman" w:cs="Times New Roman"/>
          <w:sz w:val="24"/>
          <w:szCs w:val="24"/>
        </w:rPr>
      </w:pPr>
    </w:p>
    <w:p w:rsidR="004B0BF3"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lastRenderedPageBreak/>
        <w:t>Es importante tener en cuenta que la priorización de los índices de calidad puede variar dependiendo de las necesidades específicas de la persona con baja audición,  l</w:t>
      </w:r>
      <w:r w:rsidR="004B0BF3" w:rsidRPr="006042E8">
        <w:rPr>
          <w:rFonts w:ascii="Times New Roman" w:hAnsi="Times New Roman" w:cs="Times New Roman"/>
          <w:sz w:val="24"/>
          <w:szCs w:val="24"/>
        </w:rPr>
        <w:t>os valores mínimos y máximos son solo sugerencias y pueden variar dependiendo de las necesidades específicas de la persona con baja audición.</w:t>
      </w:r>
    </w:p>
    <w:p w:rsidR="006042E8" w:rsidRPr="006042E8" w:rsidRDefault="006042E8" w:rsidP="006042E8">
      <w:pPr>
        <w:jc w:val="both"/>
        <w:rPr>
          <w:rFonts w:ascii="Times New Roman" w:hAnsi="Times New Roman" w:cs="Times New Roman"/>
          <w:sz w:val="24"/>
          <w:szCs w:val="24"/>
        </w:rPr>
      </w:pPr>
      <w:r w:rsidRPr="00F321F4">
        <w:rPr>
          <w:rFonts w:ascii="Times New Roman" w:hAnsi="Times New Roman" w:cs="Times New Roman"/>
          <w:b/>
          <w:sz w:val="28"/>
          <w:szCs w:val="28"/>
        </w:rPr>
        <w:t>Evaluación cuadro índices de calidad</w:t>
      </w:r>
      <w:r w:rsidRPr="00F321F4">
        <w:rPr>
          <w:rFonts w:ascii="Times New Roman" w:hAnsi="Times New Roman" w:cs="Times New Roman"/>
          <w:sz w:val="28"/>
          <w:szCs w:val="28"/>
        </w:rPr>
        <w:t>:</w:t>
      </w:r>
      <w:r w:rsidRPr="006042E8">
        <w:rPr>
          <w:rFonts w:ascii="Times New Roman" w:hAnsi="Times New Roman" w:cs="Times New Roman"/>
          <w:sz w:val="24"/>
          <w:szCs w:val="24"/>
        </w:rPr>
        <w:t xml:space="preserve"> se evaluaran otorgando el máximo puntaje previsto para cada indicativo que alcance el máximo valor indicado en el cuadro, el resto de las ofertas se calificaran con la regla de proporcionalidad hasta llegar al mínimo expresado, las ofertas que no superen los valores más bajos informados en la tabla  serán calificados  con (0 puntos).</w:t>
      </w:r>
    </w:p>
    <w:p w:rsidR="006042E8"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t xml:space="preserve">Nota: estos indicadores deben ser respaldados con la folletería, ficha técnica  o de la Pagina Web oficial del  fabricante. </w:t>
      </w:r>
    </w:p>
    <w:p w:rsidR="00172972" w:rsidRPr="00F321F4" w:rsidRDefault="00172972" w:rsidP="006042E8">
      <w:pPr>
        <w:jc w:val="both"/>
        <w:rPr>
          <w:rFonts w:ascii="Times New Roman" w:hAnsi="Times New Roman" w:cs="Times New Roman"/>
          <w:b/>
          <w:sz w:val="28"/>
          <w:szCs w:val="28"/>
        </w:rPr>
      </w:pPr>
      <w:r>
        <w:rPr>
          <w:rFonts w:ascii="Times New Roman" w:hAnsi="Times New Roman" w:cs="Times New Roman"/>
          <w:b/>
          <w:sz w:val="24"/>
          <w:szCs w:val="24"/>
        </w:rPr>
        <w:t xml:space="preserve">3. </w:t>
      </w:r>
      <w:r w:rsidRPr="00F321F4">
        <w:rPr>
          <w:rFonts w:ascii="Times New Roman" w:hAnsi="Times New Roman" w:cs="Times New Roman"/>
          <w:b/>
          <w:sz w:val="28"/>
          <w:szCs w:val="28"/>
        </w:rPr>
        <w:t>Plazo de Entrega:</w:t>
      </w:r>
    </w:p>
    <w:p w:rsidR="000825CC" w:rsidRPr="000825CC" w:rsidRDefault="000825CC" w:rsidP="000825CC">
      <w:pPr>
        <w:spacing w:line="360" w:lineRule="auto"/>
        <w:jc w:val="both"/>
        <w:rPr>
          <w:rFonts w:ascii="Times New Roman" w:eastAsia="Times New Roman" w:hAnsi="Times New Roman" w:cs="Times New Roman"/>
          <w:sz w:val="24"/>
          <w:szCs w:val="24"/>
        </w:rPr>
      </w:pPr>
      <w:r w:rsidRPr="000825CC">
        <w:rPr>
          <w:rFonts w:ascii="Times New Roman" w:eastAsia="Times New Roman" w:hAnsi="Times New Roman" w:cs="Times New Roman"/>
          <w:sz w:val="24"/>
          <w:szCs w:val="24"/>
        </w:rPr>
        <w:t>Teniendo en cuenta el plazo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0825CC" w:rsidRDefault="000825CC" w:rsidP="000825CC">
      <w:pPr>
        <w:jc w:val="both"/>
        <w:rPr>
          <w:rFonts w:ascii="Times New Roman" w:hAnsi="Times New Roman" w:cs="Times New Roman"/>
          <w:b/>
          <w:sz w:val="24"/>
          <w:szCs w:val="24"/>
        </w:rPr>
      </w:pPr>
      <w:r w:rsidRPr="000825CC">
        <w:rPr>
          <w:rFonts w:ascii="Times New Roman" w:eastAsia="Times New Roman" w:hAnsi="Times New Roman" w:cs="Times New Roman"/>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6042E8" w:rsidRPr="006042E8" w:rsidRDefault="00F321F4" w:rsidP="006042E8">
      <w:pPr>
        <w:jc w:val="both"/>
        <w:rPr>
          <w:rFonts w:ascii="Times New Roman" w:hAnsi="Times New Roman" w:cs="Times New Roman"/>
          <w:sz w:val="24"/>
          <w:szCs w:val="24"/>
        </w:rPr>
      </w:pPr>
      <w:r>
        <w:rPr>
          <w:rFonts w:ascii="Times New Roman" w:hAnsi="Times New Roman" w:cs="Times New Roman"/>
          <w:b/>
          <w:sz w:val="24"/>
          <w:szCs w:val="24"/>
        </w:rPr>
        <w:t>4</w:t>
      </w:r>
      <w:r w:rsidR="006042E8" w:rsidRPr="006042E8">
        <w:rPr>
          <w:rFonts w:ascii="Times New Roman" w:hAnsi="Times New Roman" w:cs="Times New Roman"/>
          <w:b/>
          <w:sz w:val="24"/>
          <w:szCs w:val="24"/>
        </w:rPr>
        <w:t>.</w:t>
      </w:r>
      <w:r w:rsidR="006042E8">
        <w:rPr>
          <w:rFonts w:ascii="Times New Roman" w:hAnsi="Times New Roman" w:cs="Times New Roman"/>
          <w:sz w:val="24"/>
          <w:szCs w:val="24"/>
        </w:rPr>
        <w:t xml:space="preserve"> </w:t>
      </w:r>
      <w:r w:rsidR="006042E8" w:rsidRPr="00F321F4">
        <w:rPr>
          <w:rFonts w:ascii="Times New Roman" w:hAnsi="Times New Roman" w:cs="Times New Roman"/>
          <w:b/>
          <w:sz w:val="28"/>
          <w:szCs w:val="28"/>
        </w:rPr>
        <w:t>Plazo de Garantía:</w:t>
      </w:r>
      <w:r w:rsidR="006042E8" w:rsidRPr="006042E8">
        <w:rPr>
          <w:rFonts w:ascii="Times New Roman" w:hAnsi="Times New Roman" w:cs="Times New Roman"/>
          <w:sz w:val="24"/>
          <w:szCs w:val="24"/>
        </w:rPr>
        <w:t xml:space="preserve"> Teniendo en cuenta el plazo estipulado por el Pliego de Condiciones Especiales, se calificará con el máximo puntaje previsto diez (5 puntos), a la oferta que presente mayor plazo de garantía. Las demás ofertas serán calificadas conforme el criterio de la proporcionalidad, en función del plazo propuesto.</w:t>
      </w:r>
    </w:p>
    <w:p w:rsidR="006042E8" w:rsidRPr="006042E8" w:rsidRDefault="00F321F4" w:rsidP="006042E8">
      <w:pPr>
        <w:jc w:val="both"/>
        <w:rPr>
          <w:rFonts w:ascii="Times New Roman" w:hAnsi="Times New Roman" w:cs="Times New Roman"/>
          <w:b/>
          <w:sz w:val="24"/>
          <w:szCs w:val="24"/>
        </w:rPr>
      </w:pPr>
      <w:r>
        <w:rPr>
          <w:rFonts w:ascii="Times New Roman" w:hAnsi="Times New Roman" w:cs="Times New Roman"/>
          <w:b/>
          <w:sz w:val="24"/>
          <w:szCs w:val="24"/>
        </w:rPr>
        <w:t>5</w:t>
      </w:r>
      <w:r w:rsidR="006042E8" w:rsidRPr="006042E8">
        <w:rPr>
          <w:rFonts w:ascii="Times New Roman" w:hAnsi="Times New Roman" w:cs="Times New Roman"/>
          <w:b/>
          <w:sz w:val="24"/>
          <w:szCs w:val="24"/>
        </w:rPr>
        <w:t>.</w:t>
      </w:r>
      <w:r w:rsidR="006042E8">
        <w:rPr>
          <w:rFonts w:ascii="Times New Roman" w:hAnsi="Times New Roman" w:cs="Times New Roman"/>
          <w:sz w:val="24"/>
          <w:szCs w:val="24"/>
        </w:rPr>
        <w:t xml:space="preserve"> </w:t>
      </w:r>
      <w:r w:rsidR="006042E8" w:rsidRPr="006042E8">
        <w:rPr>
          <w:rFonts w:ascii="Times New Roman" w:hAnsi="Times New Roman" w:cs="Times New Roman"/>
          <w:b/>
          <w:sz w:val="24"/>
          <w:szCs w:val="24"/>
        </w:rPr>
        <w:t>ACREDITACIÓN DE OBJETIVOS DE DESARROLLO SOSTENIBLE (S/LEY 9193):</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Para la presente contratación  se considera relevante la evaluación del desempeño empresario de los oferentes, a la luz de las metas de los Objetivos de Desarrollo Sostenible del Pacto Global de las Naciones Unidas (ver  https://www.un.org/sustainabledevelopment/es/objetivos-de-desarrollo-sostenible/).</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w:t>
      </w:r>
      <w:r w:rsidRPr="006042E8">
        <w:rPr>
          <w:rFonts w:ascii="Times New Roman" w:hAnsi="Times New Roman" w:cs="Times New Roman"/>
          <w:sz w:val="24"/>
          <w:szCs w:val="24"/>
        </w:rPr>
        <w:lastRenderedPageBreak/>
        <w:t xml:space="preserve">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6042E8" w:rsidRPr="006042E8" w:rsidRDefault="006042E8" w:rsidP="006042E8">
      <w:pPr>
        <w:jc w:val="both"/>
        <w:rPr>
          <w:rFonts w:ascii="Times New Roman" w:hAnsi="Times New Roman" w:cs="Times New Roman"/>
          <w:sz w:val="24"/>
          <w:szCs w:val="24"/>
        </w:rPr>
      </w:pPr>
    </w:p>
    <w:p w:rsidR="006042E8" w:rsidRPr="006042E8" w:rsidRDefault="00F321F4" w:rsidP="006042E8">
      <w:pPr>
        <w:jc w:val="both"/>
        <w:rPr>
          <w:rFonts w:ascii="Times New Roman" w:hAnsi="Times New Roman" w:cs="Times New Roman"/>
          <w:sz w:val="24"/>
          <w:szCs w:val="24"/>
        </w:rPr>
      </w:pPr>
      <w:r>
        <w:rPr>
          <w:rFonts w:ascii="Times New Roman" w:hAnsi="Times New Roman" w:cs="Times New Roman"/>
          <w:b/>
          <w:sz w:val="24"/>
          <w:szCs w:val="24"/>
        </w:rPr>
        <w:t>6</w:t>
      </w:r>
      <w:r w:rsidR="00172972">
        <w:rPr>
          <w:rFonts w:ascii="Times New Roman" w:hAnsi="Times New Roman" w:cs="Times New Roman"/>
          <w:sz w:val="24"/>
          <w:szCs w:val="24"/>
        </w:rPr>
        <w:t xml:space="preserve">. </w:t>
      </w:r>
      <w:r w:rsidR="006042E8" w:rsidRPr="006042E8">
        <w:rPr>
          <w:rFonts w:ascii="Times New Roman" w:hAnsi="Times New Roman" w:cs="Times New Roman"/>
          <w:b/>
          <w:sz w:val="24"/>
          <w:szCs w:val="24"/>
        </w:rPr>
        <w:t>OFERTA ECONÓMICA</w:t>
      </w:r>
      <w:r w:rsidR="006042E8" w:rsidRPr="006042E8">
        <w:rPr>
          <w:rFonts w:ascii="Times New Roman" w:hAnsi="Times New Roman" w:cs="Times New Roman"/>
          <w:sz w:val="24"/>
          <w:szCs w:val="24"/>
        </w:rPr>
        <w:t>:</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Para este rubro se asignará el máximo puntaje previsto (40 puntos) a la oferta que, siendo formal y técnicamente admisible, resulte ser la de menor precio. Las demás serán puntuadas conforme la regla de proporcionalidad. </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Por regla, las ofertas que no superen los 40 puntos serán desestimadas por inconvenientes. La Administración licitante, en virtud de razones fundadas, podrá valorar como conveniente a una oferta determinada, en caso de que la misma no alcanzare el mínimo establecido.</w:t>
      </w:r>
    </w:p>
    <w:p w:rsidR="00AD0ED2" w:rsidRPr="001014CA" w:rsidRDefault="00AD0ED2" w:rsidP="00AD0ED2">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6042E8" w:rsidRPr="006042E8" w:rsidRDefault="006042E8" w:rsidP="006042E8">
      <w:pPr>
        <w:jc w:val="both"/>
        <w:rPr>
          <w:rFonts w:ascii="Times New Roman" w:hAnsi="Times New Roman" w:cs="Times New Roman"/>
          <w:sz w:val="24"/>
          <w:szCs w:val="24"/>
        </w:rPr>
      </w:pPr>
      <w:bookmarkStart w:id="0" w:name="_GoBack"/>
      <w:bookmarkEnd w:id="0"/>
    </w:p>
    <w:p w:rsidR="004B0BF3" w:rsidRPr="006042E8" w:rsidRDefault="004B0BF3" w:rsidP="006042E8">
      <w:pPr>
        <w:jc w:val="both"/>
        <w:rPr>
          <w:rFonts w:ascii="Times New Roman" w:hAnsi="Times New Roman" w:cs="Times New Roman"/>
          <w:sz w:val="24"/>
          <w:szCs w:val="24"/>
        </w:rPr>
      </w:pPr>
    </w:p>
    <w:p w:rsidR="004B0BF3" w:rsidRPr="006042E8" w:rsidRDefault="004B0BF3" w:rsidP="006042E8">
      <w:pPr>
        <w:jc w:val="both"/>
        <w:rPr>
          <w:rFonts w:ascii="Times New Roman" w:hAnsi="Times New Roman" w:cs="Times New Roman"/>
          <w:sz w:val="24"/>
          <w:szCs w:val="24"/>
        </w:rPr>
      </w:pPr>
    </w:p>
    <w:sectPr w:rsidR="004B0BF3" w:rsidRPr="00604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0BC7E5B"/>
    <w:multiLevelType w:val="hybridMultilevel"/>
    <w:tmpl w:val="6B02CC66"/>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 w15:restartNumberingAfterBreak="0">
    <w:nsid w:val="58E503AE"/>
    <w:multiLevelType w:val="multilevel"/>
    <w:tmpl w:val="CBE83C2C"/>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D12B6"/>
    <w:multiLevelType w:val="hybridMultilevel"/>
    <w:tmpl w:val="EA22D08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F3"/>
    <w:rsid w:val="000825CC"/>
    <w:rsid w:val="00172972"/>
    <w:rsid w:val="00177AB0"/>
    <w:rsid w:val="00494AA8"/>
    <w:rsid w:val="004B0BF3"/>
    <w:rsid w:val="005230FA"/>
    <w:rsid w:val="006042E8"/>
    <w:rsid w:val="009434AD"/>
    <w:rsid w:val="00AD0ED2"/>
    <w:rsid w:val="00C70FF5"/>
    <w:rsid w:val="00E67E77"/>
    <w:rsid w:val="00F321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6F4CF-49B6-4287-98DD-24967ABE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2E8"/>
    <w:pPr>
      <w:ind w:left="720"/>
      <w:contextualSpacing/>
    </w:pPr>
    <w:rPr>
      <w:rFonts w:ascii="Arial" w:eastAsia="Calibri" w:hAnsi="Arial" w:cs="Arial"/>
      <w:sz w:val="24"/>
      <w:szCs w:val="24"/>
      <w:lang w:eastAsia="es-AR"/>
    </w:rPr>
  </w:style>
  <w:style w:type="paragraph" w:styleId="Sinespaciado">
    <w:name w:val="No Spacing"/>
    <w:uiPriority w:val="1"/>
    <w:qFormat/>
    <w:rsid w:val="00F321F4"/>
    <w:pPr>
      <w:spacing w:after="0" w:line="240" w:lineRule="auto"/>
    </w:pPr>
    <w:rPr>
      <w:rFonts w:ascii="Arial" w:eastAsia="Calibri" w:hAnsi="Arial" w:cs="Arial"/>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184">
      <w:bodyDiv w:val="1"/>
      <w:marLeft w:val="0"/>
      <w:marRight w:val="0"/>
      <w:marTop w:val="0"/>
      <w:marBottom w:val="0"/>
      <w:divBdr>
        <w:top w:val="none" w:sz="0" w:space="0" w:color="auto"/>
        <w:left w:val="none" w:sz="0" w:space="0" w:color="auto"/>
        <w:bottom w:val="none" w:sz="0" w:space="0" w:color="auto"/>
        <w:right w:val="none" w:sz="0" w:space="0" w:color="auto"/>
      </w:divBdr>
    </w:div>
    <w:div w:id="2112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2025-06-02T13:15:00Z</dcterms:created>
  <dcterms:modified xsi:type="dcterms:W3CDTF">2025-06-02T13:15:00Z</dcterms:modified>
</cp:coreProperties>
</file>