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45E" w:rsidRPr="00A7145E" w:rsidRDefault="00A7145E" w:rsidP="00F321F4">
      <w:pPr>
        <w:jc w:val="both"/>
        <w:rPr>
          <w:rFonts w:ascii="Times New Roman" w:hAnsi="Times New Roman" w:cs="Times New Roman"/>
          <w:b/>
          <w:sz w:val="28"/>
          <w:szCs w:val="28"/>
        </w:rPr>
      </w:pPr>
    </w:p>
    <w:p w:rsidR="006042E8" w:rsidRPr="00AA706C" w:rsidRDefault="00F06985" w:rsidP="008B64AF">
      <w:pPr>
        <w:spacing w:line="360" w:lineRule="auto"/>
        <w:jc w:val="center"/>
        <w:rPr>
          <w:rFonts w:ascii="Times New Roman" w:eastAsia="Times New Roman" w:hAnsi="Times New Roman" w:cs="Times New Roman"/>
          <w:b/>
          <w:sz w:val="28"/>
          <w:szCs w:val="28"/>
        </w:rPr>
      </w:pPr>
      <w:r w:rsidRPr="00F321F4">
        <w:rPr>
          <w:rFonts w:ascii="Times New Roman" w:eastAsia="Times New Roman" w:hAnsi="Times New Roman" w:cs="Times New Roman"/>
          <w:b/>
          <w:sz w:val="28"/>
          <w:szCs w:val="28"/>
        </w:rPr>
        <w:t xml:space="preserve">GRILLA </w:t>
      </w:r>
      <w:r>
        <w:rPr>
          <w:rFonts w:ascii="Times New Roman" w:eastAsia="Times New Roman" w:hAnsi="Times New Roman" w:cs="Times New Roman"/>
          <w:b/>
          <w:sz w:val="28"/>
          <w:szCs w:val="28"/>
        </w:rPr>
        <w:t>DE EVALUACIÓN PARA LA ADQUISICIÓN DE FRAZADAS POLAR Y ACOLCHADOS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32"/>
        <w:gridCol w:w="1138"/>
      </w:tblGrid>
      <w:tr w:rsidR="006042E8" w:rsidRPr="001428D3" w:rsidTr="00351976">
        <w:trPr>
          <w:trHeight w:val="649"/>
          <w:jc w:val="center"/>
        </w:trPr>
        <w:tc>
          <w:tcPr>
            <w:tcW w:w="6232" w:type="dxa"/>
            <w:shd w:val="clear" w:color="auto" w:fill="auto"/>
            <w:tcMar>
              <w:top w:w="15" w:type="dxa"/>
              <w:left w:w="15" w:type="dxa"/>
              <w:bottom w:w="0" w:type="dxa"/>
              <w:right w:w="15" w:type="dxa"/>
            </w:tcMar>
            <w:vAlign w:val="center"/>
            <w:hideMark/>
          </w:tcPr>
          <w:p w:rsidR="006042E8" w:rsidRPr="001428D3" w:rsidRDefault="006042E8" w:rsidP="00B67D6C">
            <w:pPr>
              <w:spacing w:after="0" w:line="360" w:lineRule="auto"/>
              <w:jc w:val="center"/>
              <w:rPr>
                <w:rFonts w:ascii="Times New Roman" w:eastAsia="Times New Roman" w:hAnsi="Times New Roman" w:cs="Times New Roman"/>
                <w:b/>
                <w:bCs/>
                <w:color w:val="000000"/>
              </w:rPr>
            </w:pPr>
            <w:r w:rsidRPr="001428D3">
              <w:rPr>
                <w:rFonts w:ascii="Times New Roman" w:eastAsia="Times New Roman" w:hAnsi="Times New Roman" w:cs="Times New Roman"/>
                <w:b/>
                <w:bCs/>
                <w:color w:val="000000"/>
              </w:rPr>
              <w:t>CRITERIO</w:t>
            </w:r>
          </w:p>
        </w:tc>
        <w:tc>
          <w:tcPr>
            <w:tcW w:w="1138" w:type="dxa"/>
            <w:shd w:val="clear" w:color="auto" w:fill="auto"/>
            <w:tcMar>
              <w:top w:w="15" w:type="dxa"/>
              <w:left w:w="15" w:type="dxa"/>
              <w:bottom w:w="0" w:type="dxa"/>
              <w:right w:w="15" w:type="dxa"/>
            </w:tcMar>
            <w:vAlign w:val="center"/>
            <w:hideMark/>
          </w:tcPr>
          <w:p w:rsidR="006042E8" w:rsidRPr="001428D3" w:rsidRDefault="006042E8" w:rsidP="00B67D6C">
            <w:pPr>
              <w:spacing w:after="0" w:line="360" w:lineRule="auto"/>
              <w:jc w:val="center"/>
              <w:rPr>
                <w:rFonts w:ascii="Times New Roman" w:eastAsia="Times New Roman" w:hAnsi="Times New Roman" w:cs="Times New Roman"/>
                <w:b/>
                <w:bCs/>
                <w:color w:val="000000"/>
              </w:rPr>
            </w:pPr>
            <w:r w:rsidRPr="001428D3">
              <w:rPr>
                <w:rFonts w:ascii="Times New Roman" w:eastAsia="Times New Roman" w:hAnsi="Times New Roman" w:cs="Times New Roman"/>
                <w:b/>
                <w:bCs/>
                <w:color w:val="000000"/>
              </w:rPr>
              <w:t>PUNTAJE</w:t>
            </w:r>
          </w:p>
        </w:tc>
      </w:tr>
      <w:tr w:rsidR="006042E8" w:rsidRPr="001428D3" w:rsidTr="00351976">
        <w:trPr>
          <w:trHeight w:val="649"/>
          <w:jc w:val="center"/>
        </w:trPr>
        <w:tc>
          <w:tcPr>
            <w:tcW w:w="6232" w:type="dxa"/>
            <w:shd w:val="clear" w:color="auto" w:fill="auto"/>
            <w:tcMar>
              <w:top w:w="15" w:type="dxa"/>
              <w:left w:w="15" w:type="dxa"/>
              <w:bottom w:w="0" w:type="dxa"/>
              <w:right w:w="15" w:type="dxa"/>
            </w:tcMar>
            <w:vAlign w:val="center"/>
          </w:tcPr>
          <w:p w:rsidR="006042E8" w:rsidRPr="0019174E" w:rsidRDefault="006042E8" w:rsidP="006042E8">
            <w:pPr>
              <w:pStyle w:val="Prrafodelista"/>
              <w:numPr>
                <w:ilvl w:val="0"/>
                <w:numId w:val="1"/>
              </w:numPr>
              <w:spacing w:after="0" w:line="360" w:lineRule="auto"/>
              <w:ind w:left="411" w:firstLine="0"/>
              <w:jc w:val="both"/>
              <w:rPr>
                <w:rFonts w:ascii="Times New Roman" w:eastAsia="Times New Roman" w:hAnsi="Times New Roman" w:cs="Times New Roman"/>
                <w:b/>
                <w:color w:val="000000"/>
              </w:rPr>
            </w:pPr>
            <w:r w:rsidRPr="0019174E">
              <w:rPr>
                <w:rFonts w:ascii="Times New Roman" w:eastAsia="Times New Roman" w:hAnsi="Times New Roman" w:cs="Times New Roman"/>
                <w:b/>
                <w:color w:val="000000"/>
              </w:rPr>
              <w:t xml:space="preserve">Antecedentes </w:t>
            </w:r>
          </w:p>
          <w:p w:rsidR="006042E8" w:rsidRPr="0019174E" w:rsidRDefault="006042E8" w:rsidP="006042E8">
            <w:pPr>
              <w:pStyle w:val="Prrafodelista"/>
              <w:numPr>
                <w:ilvl w:val="0"/>
                <w:numId w:val="2"/>
              </w:numPr>
              <w:spacing w:after="0" w:line="360" w:lineRule="auto"/>
              <w:ind w:left="694"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Contractuales                                            (5</w:t>
            </w:r>
            <w:r w:rsidRPr="0019174E">
              <w:rPr>
                <w:rFonts w:ascii="Times New Roman" w:eastAsia="Times New Roman" w:hAnsi="Times New Roman" w:cs="Times New Roman"/>
                <w:color w:val="000000"/>
              </w:rPr>
              <w:t>)</w:t>
            </w:r>
          </w:p>
          <w:p w:rsidR="006042E8" w:rsidRPr="0019174E" w:rsidRDefault="006042E8" w:rsidP="006042E8">
            <w:pPr>
              <w:pStyle w:val="Prrafodelista"/>
              <w:numPr>
                <w:ilvl w:val="0"/>
                <w:numId w:val="2"/>
              </w:numPr>
              <w:spacing w:after="0" w:line="360" w:lineRule="auto"/>
              <w:ind w:left="694" w:hanging="283"/>
              <w:jc w:val="both"/>
              <w:rPr>
                <w:rFonts w:ascii="Times New Roman" w:eastAsia="Times New Roman" w:hAnsi="Times New Roman" w:cs="Times New Roman"/>
                <w:b/>
                <w:color w:val="000000"/>
              </w:rPr>
            </w:pPr>
            <w:r w:rsidRPr="0019174E">
              <w:rPr>
                <w:rFonts w:ascii="Times New Roman" w:eastAsia="Times New Roman" w:hAnsi="Times New Roman" w:cs="Times New Roman"/>
                <w:color w:val="000000"/>
              </w:rPr>
              <w:t>Comerciales</w:t>
            </w:r>
            <w:r>
              <w:rPr>
                <w:rFonts w:ascii="Times New Roman" w:eastAsia="Times New Roman" w:hAnsi="Times New Roman" w:cs="Times New Roman"/>
                <w:color w:val="000000"/>
              </w:rPr>
              <w:t xml:space="preserve">                                             </w:t>
            </w:r>
            <w:r w:rsidRPr="0019174E">
              <w:rPr>
                <w:rFonts w:ascii="Times New Roman" w:eastAsia="Times New Roman" w:hAnsi="Times New Roman" w:cs="Times New Roman"/>
                <w:color w:val="000000"/>
              </w:rPr>
              <w:t xml:space="preserve"> (5)</w:t>
            </w:r>
          </w:p>
        </w:tc>
        <w:tc>
          <w:tcPr>
            <w:tcW w:w="1138" w:type="dxa"/>
            <w:shd w:val="clear" w:color="auto" w:fill="auto"/>
            <w:tcMar>
              <w:top w:w="15" w:type="dxa"/>
              <w:left w:w="15" w:type="dxa"/>
              <w:bottom w:w="0" w:type="dxa"/>
              <w:right w:w="15" w:type="dxa"/>
            </w:tcMar>
            <w:vAlign w:val="center"/>
          </w:tcPr>
          <w:p w:rsidR="006042E8" w:rsidRPr="001428D3" w:rsidRDefault="006042E8" w:rsidP="00B67D6C">
            <w:pPr>
              <w:spacing w:after="0" w:line="36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w:t>
            </w:r>
          </w:p>
        </w:tc>
      </w:tr>
      <w:tr w:rsidR="006042E8" w:rsidRPr="001428D3" w:rsidTr="00351976">
        <w:trPr>
          <w:trHeight w:val="591"/>
          <w:jc w:val="center"/>
        </w:trPr>
        <w:tc>
          <w:tcPr>
            <w:tcW w:w="6232" w:type="dxa"/>
            <w:shd w:val="clear" w:color="auto" w:fill="auto"/>
            <w:tcMar>
              <w:top w:w="15" w:type="dxa"/>
              <w:left w:w="15" w:type="dxa"/>
              <w:bottom w:w="0" w:type="dxa"/>
              <w:right w:w="15" w:type="dxa"/>
            </w:tcMar>
            <w:vAlign w:val="center"/>
          </w:tcPr>
          <w:p w:rsidR="006042E8" w:rsidRDefault="006042E8" w:rsidP="006042E8">
            <w:pPr>
              <w:pStyle w:val="Prrafodelista"/>
              <w:numPr>
                <w:ilvl w:val="0"/>
                <w:numId w:val="1"/>
              </w:numP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Indicadores de calidad </w:t>
            </w:r>
          </w:p>
          <w:p w:rsidR="00A7145E" w:rsidRPr="00A7145E" w:rsidRDefault="00A7145E" w:rsidP="00A7145E">
            <w:pPr>
              <w:pStyle w:val="Prrafodelista"/>
              <w:spacing w:after="0" w:line="360" w:lineRule="auto"/>
              <w:jc w:val="both"/>
              <w:rPr>
                <w:rFonts w:ascii="Times New Roman" w:eastAsia="Times New Roman" w:hAnsi="Times New Roman" w:cs="Times New Roman"/>
                <w:b/>
                <w:color w:val="000000"/>
              </w:rPr>
            </w:pPr>
            <w:r w:rsidRPr="00A7145E">
              <w:rPr>
                <w:rFonts w:ascii="Times New Roman" w:eastAsia="Times New Roman" w:hAnsi="Times New Roman" w:cs="Times New Roman"/>
                <w:b/>
                <w:color w:val="000000"/>
              </w:rPr>
              <w:t>Gramaje del tejido</w:t>
            </w:r>
            <w:r>
              <w:rPr>
                <w:rFonts w:ascii="Times New Roman" w:eastAsia="Times New Roman" w:hAnsi="Times New Roman" w:cs="Times New Roman"/>
                <w:b/>
                <w:color w:val="000000"/>
              </w:rPr>
              <w:t xml:space="preserve">              </w:t>
            </w:r>
            <w:r w:rsidR="00A757B2">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3 puntos</w:t>
            </w:r>
          </w:p>
          <w:p w:rsidR="00A7145E" w:rsidRPr="00A7145E" w:rsidRDefault="00A7145E" w:rsidP="00A7145E">
            <w:pPr>
              <w:pStyle w:val="Prrafodelista"/>
              <w:spacing w:after="0" w:line="360" w:lineRule="auto"/>
              <w:jc w:val="both"/>
              <w:rPr>
                <w:rFonts w:ascii="Times New Roman" w:eastAsia="Times New Roman" w:hAnsi="Times New Roman" w:cs="Times New Roman"/>
                <w:b/>
                <w:color w:val="000000"/>
              </w:rPr>
            </w:pPr>
            <w:r w:rsidRPr="00A7145E">
              <w:rPr>
                <w:rFonts w:ascii="Times New Roman" w:eastAsia="Times New Roman" w:hAnsi="Times New Roman" w:cs="Times New Roman"/>
                <w:b/>
                <w:color w:val="000000"/>
              </w:rPr>
              <w:t>Tipo de tejido</w:t>
            </w:r>
            <w:r>
              <w:rPr>
                <w:rFonts w:ascii="Times New Roman" w:eastAsia="Times New Roman" w:hAnsi="Times New Roman" w:cs="Times New Roman"/>
                <w:b/>
                <w:color w:val="000000"/>
              </w:rPr>
              <w:t xml:space="preserve">                      </w:t>
            </w:r>
            <w:r w:rsidR="00A757B2">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3 puntos           </w:t>
            </w:r>
          </w:p>
          <w:p w:rsidR="00A7145E" w:rsidRPr="00A7145E" w:rsidRDefault="00A7145E" w:rsidP="00A7145E">
            <w:pPr>
              <w:pStyle w:val="Prrafodelista"/>
              <w:spacing w:after="0" w:line="360" w:lineRule="auto"/>
              <w:jc w:val="both"/>
              <w:rPr>
                <w:rFonts w:ascii="Times New Roman" w:eastAsia="Times New Roman" w:hAnsi="Times New Roman" w:cs="Times New Roman"/>
                <w:b/>
                <w:color w:val="000000"/>
              </w:rPr>
            </w:pPr>
            <w:r w:rsidRPr="00A7145E">
              <w:rPr>
                <w:rFonts w:ascii="Times New Roman" w:eastAsia="Times New Roman" w:hAnsi="Times New Roman" w:cs="Times New Roman"/>
                <w:b/>
                <w:color w:val="000000"/>
              </w:rPr>
              <w:t>Acabado anti peeling</w:t>
            </w:r>
            <w:r>
              <w:rPr>
                <w:rFonts w:ascii="Times New Roman" w:eastAsia="Times New Roman" w:hAnsi="Times New Roman" w:cs="Times New Roman"/>
                <w:b/>
                <w:color w:val="000000"/>
              </w:rPr>
              <w:t xml:space="preserve">          </w:t>
            </w:r>
            <w:r w:rsidR="00A757B2">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3 puntos</w:t>
            </w:r>
          </w:p>
          <w:p w:rsidR="00A7145E" w:rsidRPr="00A7145E" w:rsidRDefault="00A7145E" w:rsidP="00A7145E">
            <w:pPr>
              <w:pStyle w:val="Prrafodelista"/>
              <w:spacing w:after="0" w:line="360" w:lineRule="auto"/>
              <w:jc w:val="both"/>
              <w:rPr>
                <w:rFonts w:ascii="Times New Roman" w:eastAsia="Times New Roman" w:hAnsi="Times New Roman" w:cs="Times New Roman"/>
                <w:b/>
                <w:color w:val="000000"/>
              </w:rPr>
            </w:pPr>
            <w:r w:rsidRPr="00A7145E">
              <w:rPr>
                <w:rFonts w:ascii="Times New Roman" w:eastAsia="Times New Roman" w:hAnsi="Times New Roman" w:cs="Times New Roman"/>
                <w:b/>
                <w:color w:val="000000"/>
              </w:rPr>
              <w:t>Costura perimetral</w:t>
            </w:r>
            <w:r>
              <w:rPr>
                <w:rFonts w:ascii="Times New Roman" w:eastAsia="Times New Roman" w:hAnsi="Times New Roman" w:cs="Times New Roman"/>
                <w:b/>
                <w:color w:val="000000"/>
              </w:rPr>
              <w:t xml:space="preserve">             </w:t>
            </w:r>
            <w:r w:rsidR="00A757B2">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3 puntos</w:t>
            </w:r>
          </w:p>
          <w:p w:rsidR="00A7145E" w:rsidRPr="00A7145E" w:rsidRDefault="00A7145E" w:rsidP="00A7145E">
            <w:pPr>
              <w:pStyle w:val="Prrafodelista"/>
              <w:spacing w:after="0" w:line="360" w:lineRule="auto"/>
              <w:jc w:val="both"/>
              <w:rPr>
                <w:rFonts w:ascii="Times New Roman" w:eastAsia="Times New Roman" w:hAnsi="Times New Roman" w:cs="Times New Roman"/>
                <w:b/>
                <w:color w:val="000000"/>
              </w:rPr>
            </w:pPr>
            <w:r w:rsidRPr="00A7145E">
              <w:rPr>
                <w:rFonts w:ascii="Times New Roman" w:eastAsia="Times New Roman" w:hAnsi="Times New Roman" w:cs="Times New Roman"/>
                <w:b/>
                <w:color w:val="000000"/>
              </w:rPr>
              <w:t>Medidas estándar</w:t>
            </w:r>
            <w:r>
              <w:rPr>
                <w:rFonts w:ascii="Times New Roman" w:eastAsia="Times New Roman" w:hAnsi="Times New Roman" w:cs="Times New Roman"/>
                <w:b/>
                <w:color w:val="000000"/>
              </w:rPr>
              <w:t xml:space="preserve">                </w:t>
            </w:r>
            <w:r w:rsidR="00A757B2">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3 puntos</w:t>
            </w:r>
          </w:p>
          <w:p w:rsidR="00A7145E" w:rsidRPr="00A7145E" w:rsidRDefault="00A7145E" w:rsidP="00A7145E">
            <w:pPr>
              <w:pStyle w:val="Prrafodelista"/>
              <w:spacing w:after="0" w:line="360" w:lineRule="auto"/>
              <w:jc w:val="both"/>
              <w:rPr>
                <w:rFonts w:ascii="Times New Roman" w:eastAsia="Times New Roman" w:hAnsi="Times New Roman" w:cs="Times New Roman"/>
                <w:b/>
                <w:color w:val="000000"/>
              </w:rPr>
            </w:pPr>
            <w:r w:rsidRPr="00A7145E">
              <w:rPr>
                <w:rFonts w:ascii="Times New Roman" w:eastAsia="Times New Roman" w:hAnsi="Times New Roman" w:cs="Times New Roman"/>
                <w:b/>
                <w:color w:val="000000"/>
              </w:rPr>
              <w:t>Tacto al contacto</w:t>
            </w:r>
            <w:r>
              <w:rPr>
                <w:rFonts w:ascii="Times New Roman" w:eastAsia="Times New Roman" w:hAnsi="Times New Roman" w:cs="Times New Roman"/>
                <w:b/>
                <w:color w:val="000000"/>
              </w:rPr>
              <w:t xml:space="preserve">                 </w:t>
            </w:r>
            <w:r w:rsidR="00A757B2">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3 puntos</w:t>
            </w:r>
          </w:p>
          <w:p w:rsidR="00A7145E" w:rsidRPr="00A7145E" w:rsidRDefault="00A7145E" w:rsidP="00A7145E">
            <w:pPr>
              <w:pStyle w:val="Prrafodelista"/>
              <w:spacing w:after="0" w:line="360" w:lineRule="auto"/>
              <w:jc w:val="both"/>
              <w:rPr>
                <w:rFonts w:ascii="Times New Roman" w:eastAsia="Times New Roman" w:hAnsi="Times New Roman" w:cs="Times New Roman"/>
                <w:b/>
                <w:color w:val="000000"/>
              </w:rPr>
            </w:pPr>
            <w:r w:rsidRPr="00A7145E">
              <w:rPr>
                <w:rFonts w:ascii="Times New Roman" w:eastAsia="Times New Roman" w:hAnsi="Times New Roman" w:cs="Times New Roman"/>
                <w:b/>
                <w:color w:val="000000"/>
              </w:rPr>
              <w:t>Solidez del color</w:t>
            </w:r>
            <w:r>
              <w:rPr>
                <w:rFonts w:ascii="Times New Roman" w:eastAsia="Times New Roman" w:hAnsi="Times New Roman" w:cs="Times New Roman"/>
                <w:b/>
                <w:color w:val="000000"/>
              </w:rPr>
              <w:t xml:space="preserve">                   </w:t>
            </w:r>
            <w:r w:rsidR="00A757B2">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3 puntos</w:t>
            </w:r>
          </w:p>
          <w:p w:rsidR="00A7145E" w:rsidRPr="00A7145E" w:rsidRDefault="00A7145E" w:rsidP="00A7145E">
            <w:pPr>
              <w:pStyle w:val="Prrafodelista"/>
              <w:spacing w:after="0" w:line="360" w:lineRule="auto"/>
              <w:jc w:val="both"/>
              <w:rPr>
                <w:rFonts w:ascii="Times New Roman" w:eastAsia="Times New Roman" w:hAnsi="Times New Roman" w:cs="Times New Roman"/>
                <w:b/>
                <w:color w:val="000000"/>
              </w:rPr>
            </w:pPr>
            <w:r w:rsidRPr="00A7145E">
              <w:rPr>
                <w:rFonts w:ascii="Times New Roman" w:eastAsia="Times New Roman" w:hAnsi="Times New Roman" w:cs="Times New Roman"/>
                <w:b/>
                <w:color w:val="000000"/>
              </w:rPr>
              <w:t>Encogimiento al lavado</w:t>
            </w:r>
            <w:r>
              <w:rPr>
                <w:rFonts w:ascii="Times New Roman" w:eastAsia="Times New Roman" w:hAnsi="Times New Roman" w:cs="Times New Roman"/>
                <w:b/>
                <w:color w:val="000000"/>
              </w:rPr>
              <w:t xml:space="preserve">       </w:t>
            </w:r>
            <w:r w:rsidR="00A757B2">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3 puntos</w:t>
            </w:r>
          </w:p>
          <w:p w:rsidR="00A7145E" w:rsidRPr="00A7145E" w:rsidRDefault="00A7145E" w:rsidP="00A7145E">
            <w:pPr>
              <w:pStyle w:val="Prrafodelista"/>
              <w:spacing w:after="0" w:line="360" w:lineRule="auto"/>
              <w:jc w:val="both"/>
              <w:rPr>
                <w:rFonts w:ascii="Times New Roman" w:eastAsia="Times New Roman" w:hAnsi="Times New Roman" w:cs="Times New Roman"/>
                <w:b/>
                <w:color w:val="000000"/>
              </w:rPr>
            </w:pPr>
            <w:r w:rsidRPr="00A7145E">
              <w:rPr>
                <w:rFonts w:ascii="Times New Roman" w:eastAsia="Times New Roman" w:hAnsi="Times New Roman" w:cs="Times New Roman"/>
                <w:b/>
                <w:color w:val="000000"/>
              </w:rPr>
              <w:t>Tolerancia térmica</w:t>
            </w:r>
            <w:r>
              <w:rPr>
                <w:rFonts w:ascii="Times New Roman" w:eastAsia="Times New Roman" w:hAnsi="Times New Roman" w:cs="Times New Roman"/>
                <w:b/>
                <w:color w:val="000000"/>
              </w:rPr>
              <w:t xml:space="preserve">               3 puntos</w:t>
            </w:r>
          </w:p>
          <w:p w:rsidR="006042E8" w:rsidRPr="009E3D73" w:rsidRDefault="00A7145E" w:rsidP="00A7145E">
            <w:pPr>
              <w:pStyle w:val="Prrafodelista"/>
              <w:spacing w:after="0" w:line="360" w:lineRule="auto"/>
              <w:jc w:val="both"/>
              <w:rPr>
                <w:rFonts w:ascii="Times New Roman" w:eastAsia="Times New Roman" w:hAnsi="Times New Roman" w:cs="Times New Roman"/>
                <w:b/>
                <w:color w:val="000000"/>
              </w:rPr>
            </w:pPr>
            <w:r w:rsidRPr="00A7145E">
              <w:rPr>
                <w:rFonts w:ascii="Times New Roman" w:eastAsia="Times New Roman" w:hAnsi="Times New Roman" w:cs="Times New Roman"/>
                <w:b/>
                <w:color w:val="000000"/>
              </w:rPr>
              <w:t>Certificaciones</w:t>
            </w:r>
            <w:r>
              <w:rPr>
                <w:rFonts w:ascii="Times New Roman" w:eastAsia="Times New Roman" w:hAnsi="Times New Roman" w:cs="Times New Roman"/>
                <w:b/>
                <w:color w:val="000000"/>
              </w:rPr>
              <w:t xml:space="preserve">                      3 puntos</w:t>
            </w:r>
          </w:p>
        </w:tc>
        <w:tc>
          <w:tcPr>
            <w:tcW w:w="1138" w:type="dxa"/>
            <w:shd w:val="clear" w:color="auto" w:fill="auto"/>
            <w:tcMar>
              <w:top w:w="15" w:type="dxa"/>
              <w:left w:w="15" w:type="dxa"/>
              <w:bottom w:w="0" w:type="dxa"/>
              <w:right w:w="15" w:type="dxa"/>
            </w:tcMar>
            <w:vAlign w:val="center"/>
          </w:tcPr>
          <w:p w:rsidR="006042E8" w:rsidRDefault="006042E8" w:rsidP="00B67D6C">
            <w:pPr>
              <w:spacing w:after="0" w:line="36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351976">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3</w:t>
            </w:r>
            <w:r w:rsidR="00172972">
              <w:rPr>
                <w:rFonts w:ascii="Times New Roman" w:eastAsia="Times New Roman" w:hAnsi="Times New Roman" w:cs="Times New Roman"/>
                <w:b/>
                <w:bCs/>
                <w:color w:val="000000"/>
              </w:rPr>
              <w:t>0</w:t>
            </w:r>
          </w:p>
          <w:p w:rsidR="006042E8" w:rsidRPr="001428D3" w:rsidRDefault="006042E8" w:rsidP="00B67D6C">
            <w:pPr>
              <w:spacing w:after="0" w:line="360" w:lineRule="auto"/>
              <w:jc w:val="center"/>
              <w:rPr>
                <w:rFonts w:ascii="Times New Roman" w:eastAsia="Times New Roman" w:hAnsi="Times New Roman" w:cs="Times New Roman"/>
                <w:b/>
                <w:bCs/>
                <w:color w:val="000000"/>
              </w:rPr>
            </w:pPr>
          </w:p>
        </w:tc>
      </w:tr>
      <w:tr w:rsidR="00172972" w:rsidRPr="001428D3" w:rsidTr="00351976">
        <w:trPr>
          <w:trHeight w:val="591"/>
          <w:jc w:val="center"/>
        </w:trPr>
        <w:tc>
          <w:tcPr>
            <w:tcW w:w="6232" w:type="dxa"/>
            <w:shd w:val="clear" w:color="auto" w:fill="auto"/>
            <w:tcMar>
              <w:top w:w="15" w:type="dxa"/>
              <w:left w:w="15" w:type="dxa"/>
              <w:bottom w:w="0" w:type="dxa"/>
              <w:right w:w="15" w:type="dxa"/>
            </w:tcMar>
            <w:vAlign w:val="center"/>
          </w:tcPr>
          <w:p w:rsidR="00172972" w:rsidRDefault="00172972" w:rsidP="006042E8">
            <w:pPr>
              <w:pStyle w:val="Prrafodelista"/>
              <w:numPr>
                <w:ilvl w:val="0"/>
                <w:numId w:val="1"/>
              </w:numP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Plazo de Entrega</w:t>
            </w:r>
          </w:p>
        </w:tc>
        <w:tc>
          <w:tcPr>
            <w:tcW w:w="1138" w:type="dxa"/>
            <w:shd w:val="clear" w:color="auto" w:fill="auto"/>
            <w:tcMar>
              <w:top w:w="15" w:type="dxa"/>
              <w:left w:w="15" w:type="dxa"/>
              <w:bottom w:w="0" w:type="dxa"/>
              <w:right w:w="15" w:type="dxa"/>
            </w:tcMar>
            <w:vAlign w:val="center"/>
          </w:tcPr>
          <w:p w:rsidR="00172972" w:rsidRDefault="008B64AF" w:rsidP="008B64AF">
            <w:pPr>
              <w:spacing w:after="0" w:line="36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172972">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10</w:t>
            </w:r>
          </w:p>
        </w:tc>
      </w:tr>
      <w:tr w:rsidR="006042E8" w:rsidRPr="001428D3" w:rsidTr="00351976">
        <w:trPr>
          <w:trHeight w:val="649"/>
          <w:jc w:val="center"/>
        </w:trPr>
        <w:tc>
          <w:tcPr>
            <w:tcW w:w="6232" w:type="dxa"/>
            <w:shd w:val="clear" w:color="auto" w:fill="auto"/>
            <w:tcMar>
              <w:top w:w="15" w:type="dxa"/>
              <w:left w:w="15" w:type="dxa"/>
              <w:bottom w:w="0" w:type="dxa"/>
              <w:right w:w="15" w:type="dxa"/>
            </w:tcMar>
            <w:vAlign w:val="center"/>
            <w:hideMark/>
          </w:tcPr>
          <w:p w:rsidR="006042E8" w:rsidRPr="0019174E" w:rsidRDefault="006042E8" w:rsidP="006042E8">
            <w:pPr>
              <w:pStyle w:val="Prrafodelista"/>
              <w:numPr>
                <w:ilvl w:val="0"/>
                <w:numId w:val="1"/>
              </w:numPr>
              <w:spacing w:after="0" w:line="360" w:lineRule="auto"/>
              <w:jc w:val="both"/>
              <w:rPr>
                <w:rFonts w:ascii="Times New Roman" w:eastAsia="Times New Roman" w:hAnsi="Times New Roman" w:cs="Times New Roman"/>
                <w:color w:val="000000"/>
              </w:rPr>
            </w:pPr>
            <w:r w:rsidRPr="0019174E">
              <w:rPr>
                <w:rFonts w:ascii="Times New Roman" w:hAnsi="Times New Roman" w:cs="Times New Roman"/>
                <w:b/>
              </w:rPr>
              <w:t>Acreditación ODS s/ Ley 9193</w:t>
            </w:r>
          </w:p>
        </w:tc>
        <w:tc>
          <w:tcPr>
            <w:tcW w:w="1138" w:type="dxa"/>
            <w:shd w:val="clear" w:color="auto" w:fill="auto"/>
            <w:tcMar>
              <w:top w:w="15" w:type="dxa"/>
              <w:left w:w="15" w:type="dxa"/>
              <w:bottom w:w="0" w:type="dxa"/>
              <w:right w:w="15" w:type="dxa"/>
            </w:tcMar>
            <w:vAlign w:val="center"/>
            <w:hideMark/>
          </w:tcPr>
          <w:p w:rsidR="006042E8" w:rsidRPr="001428D3" w:rsidRDefault="006042E8" w:rsidP="00B67D6C">
            <w:pPr>
              <w:spacing w:after="0" w:line="360" w:lineRule="auto"/>
              <w:jc w:val="center"/>
              <w:rPr>
                <w:rFonts w:ascii="Times New Roman" w:eastAsia="Times New Roman" w:hAnsi="Times New Roman" w:cs="Times New Roman"/>
                <w:b/>
                <w:bCs/>
                <w:color w:val="000000"/>
              </w:rPr>
            </w:pPr>
            <w:r w:rsidRPr="001428D3">
              <w:rPr>
                <w:rFonts w:ascii="Times New Roman" w:eastAsia="Times New Roman" w:hAnsi="Times New Roman" w:cs="Times New Roman"/>
                <w:b/>
                <w:bCs/>
                <w:color w:val="000000"/>
              </w:rPr>
              <w:t>10</w:t>
            </w:r>
          </w:p>
        </w:tc>
      </w:tr>
      <w:tr w:rsidR="006042E8" w:rsidRPr="001428D3" w:rsidTr="00351976">
        <w:trPr>
          <w:trHeight w:val="649"/>
          <w:jc w:val="center"/>
        </w:trPr>
        <w:tc>
          <w:tcPr>
            <w:tcW w:w="6232" w:type="dxa"/>
            <w:shd w:val="clear" w:color="auto" w:fill="auto"/>
            <w:tcMar>
              <w:top w:w="15" w:type="dxa"/>
              <w:left w:w="15" w:type="dxa"/>
              <w:bottom w:w="0" w:type="dxa"/>
              <w:right w:w="15" w:type="dxa"/>
            </w:tcMar>
            <w:vAlign w:val="center"/>
          </w:tcPr>
          <w:p w:rsidR="006042E8" w:rsidRPr="0019174E" w:rsidRDefault="006042E8" w:rsidP="006042E8">
            <w:pPr>
              <w:pStyle w:val="Prrafodelista"/>
              <w:numPr>
                <w:ilvl w:val="0"/>
                <w:numId w:val="1"/>
              </w:numPr>
              <w:spacing w:after="0" w:line="360" w:lineRule="auto"/>
              <w:jc w:val="both"/>
              <w:rPr>
                <w:rFonts w:ascii="Times New Roman" w:eastAsia="Times New Roman" w:hAnsi="Times New Roman" w:cs="Times New Roman"/>
                <w:b/>
                <w:color w:val="000000"/>
              </w:rPr>
            </w:pPr>
            <w:r w:rsidRPr="0019174E">
              <w:rPr>
                <w:rFonts w:ascii="Times New Roman" w:eastAsia="Times New Roman" w:hAnsi="Times New Roman" w:cs="Times New Roman"/>
                <w:b/>
                <w:color w:val="000000"/>
              </w:rPr>
              <w:t>Oferta Económica</w:t>
            </w:r>
          </w:p>
        </w:tc>
        <w:tc>
          <w:tcPr>
            <w:tcW w:w="1138" w:type="dxa"/>
            <w:shd w:val="clear" w:color="auto" w:fill="auto"/>
            <w:tcMar>
              <w:top w:w="15" w:type="dxa"/>
              <w:left w:w="15" w:type="dxa"/>
              <w:bottom w:w="0" w:type="dxa"/>
              <w:right w:w="15" w:type="dxa"/>
            </w:tcMar>
            <w:vAlign w:val="center"/>
          </w:tcPr>
          <w:p w:rsidR="006042E8" w:rsidRPr="001428D3" w:rsidRDefault="006042E8" w:rsidP="00B67D6C">
            <w:pPr>
              <w:spacing w:after="0" w:line="36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40</w:t>
            </w:r>
          </w:p>
        </w:tc>
      </w:tr>
      <w:tr w:rsidR="006042E8" w:rsidRPr="001428D3" w:rsidTr="00351976">
        <w:trPr>
          <w:trHeight w:val="649"/>
          <w:jc w:val="center"/>
        </w:trPr>
        <w:tc>
          <w:tcPr>
            <w:tcW w:w="6232" w:type="dxa"/>
            <w:shd w:val="clear" w:color="auto" w:fill="auto"/>
            <w:tcMar>
              <w:top w:w="15" w:type="dxa"/>
              <w:left w:w="15" w:type="dxa"/>
              <w:bottom w:w="0" w:type="dxa"/>
              <w:right w:w="15" w:type="dxa"/>
            </w:tcMar>
            <w:vAlign w:val="center"/>
            <w:hideMark/>
          </w:tcPr>
          <w:p w:rsidR="006042E8" w:rsidRPr="001428D3" w:rsidRDefault="006042E8" w:rsidP="00B67D6C">
            <w:pPr>
              <w:spacing w:after="0" w:line="36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Pr="001428D3">
              <w:rPr>
                <w:rFonts w:ascii="Times New Roman" w:eastAsia="Times New Roman" w:hAnsi="Times New Roman" w:cs="Times New Roman"/>
                <w:b/>
                <w:bCs/>
                <w:color w:val="000000"/>
              </w:rPr>
              <w:t>TOTAL</w:t>
            </w:r>
          </w:p>
        </w:tc>
        <w:tc>
          <w:tcPr>
            <w:tcW w:w="1138" w:type="dxa"/>
            <w:shd w:val="clear" w:color="auto" w:fill="auto"/>
            <w:tcMar>
              <w:top w:w="15" w:type="dxa"/>
              <w:left w:w="15" w:type="dxa"/>
              <w:bottom w:w="0" w:type="dxa"/>
              <w:right w:w="15" w:type="dxa"/>
            </w:tcMar>
            <w:vAlign w:val="center"/>
            <w:hideMark/>
          </w:tcPr>
          <w:p w:rsidR="006042E8" w:rsidRPr="001428D3" w:rsidRDefault="006042E8" w:rsidP="00B67D6C">
            <w:pPr>
              <w:spacing w:after="0" w:line="360" w:lineRule="auto"/>
              <w:jc w:val="center"/>
              <w:rPr>
                <w:rFonts w:ascii="Times New Roman" w:eastAsia="Times New Roman" w:hAnsi="Times New Roman" w:cs="Times New Roman"/>
                <w:b/>
                <w:bCs/>
                <w:color w:val="000000"/>
              </w:rPr>
            </w:pPr>
            <w:r w:rsidRPr="001428D3">
              <w:rPr>
                <w:rFonts w:ascii="Times New Roman" w:eastAsia="Times New Roman" w:hAnsi="Times New Roman" w:cs="Times New Roman"/>
                <w:b/>
                <w:bCs/>
                <w:color w:val="000000"/>
              </w:rPr>
              <w:t>100</w:t>
            </w:r>
          </w:p>
        </w:tc>
      </w:tr>
    </w:tbl>
    <w:p w:rsidR="006042E8" w:rsidRDefault="006042E8">
      <w:pPr>
        <w:rPr>
          <w:rFonts w:ascii="Times New Roman" w:hAnsi="Times New Roman" w:cs="Times New Roman"/>
          <w:sz w:val="24"/>
          <w:szCs w:val="24"/>
        </w:rPr>
      </w:pPr>
    </w:p>
    <w:p w:rsidR="006042E8" w:rsidRPr="00E67E77" w:rsidRDefault="00E67E77" w:rsidP="006042E8">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6042E8" w:rsidRPr="00E67E77">
        <w:rPr>
          <w:rFonts w:ascii="Times New Roman" w:hAnsi="Times New Roman" w:cs="Times New Roman"/>
          <w:b/>
          <w:sz w:val="24"/>
          <w:szCs w:val="24"/>
        </w:rPr>
        <w:t xml:space="preserve">ANTECEDENTES </w:t>
      </w:r>
    </w:p>
    <w:p w:rsidR="006042E8" w:rsidRPr="006042E8" w:rsidRDefault="006042E8" w:rsidP="006042E8">
      <w:pPr>
        <w:jc w:val="both"/>
        <w:rPr>
          <w:rFonts w:ascii="Times New Roman" w:hAnsi="Times New Roman" w:cs="Times New Roman"/>
          <w:sz w:val="24"/>
          <w:szCs w:val="24"/>
        </w:rPr>
      </w:pPr>
      <w:r>
        <w:rPr>
          <w:rFonts w:ascii="Times New Roman" w:hAnsi="Times New Roman" w:cs="Times New Roman"/>
          <w:b/>
          <w:sz w:val="24"/>
          <w:szCs w:val="24"/>
        </w:rPr>
        <w:t xml:space="preserve">a. </w:t>
      </w:r>
      <w:r w:rsidRPr="006042E8">
        <w:rPr>
          <w:rFonts w:ascii="Times New Roman" w:hAnsi="Times New Roman" w:cs="Times New Roman"/>
          <w:sz w:val="24"/>
          <w:szCs w:val="24"/>
        </w:rPr>
        <w:t>Contractuales: Se calificará con el máximo puntaje previsto (5 puntos) a los oferentes que no posean antecedentes en el Registro Único de Proveedores de Mendoza, de penalidades o sanciones aplicadas dentro del año calendario anterior a la fecha de apertura de ofertas.</w:t>
      </w:r>
    </w:p>
    <w:p w:rsidR="006042E8" w:rsidRPr="006042E8" w:rsidRDefault="006042E8" w:rsidP="006042E8">
      <w:pPr>
        <w:jc w:val="both"/>
        <w:rPr>
          <w:rFonts w:ascii="Times New Roman" w:hAnsi="Times New Roman" w:cs="Times New Roman"/>
          <w:sz w:val="24"/>
          <w:szCs w:val="24"/>
        </w:rPr>
      </w:pPr>
      <w:r w:rsidRPr="006042E8">
        <w:rPr>
          <w:rFonts w:ascii="Times New Roman" w:hAnsi="Times New Roman" w:cs="Times New Roman"/>
          <w:sz w:val="24"/>
          <w:szCs w:val="24"/>
        </w:rPr>
        <w:t xml:space="preserve">En caso de oferentes que no posean en el Registro Único de Proveedores una inscripción vigente en dicho período, también serán calificados con el máximo puntaje (5 puntos), </w:t>
      </w:r>
      <w:r w:rsidRPr="006042E8">
        <w:rPr>
          <w:rFonts w:ascii="Times New Roman" w:hAnsi="Times New Roman" w:cs="Times New Roman"/>
          <w:sz w:val="24"/>
          <w:szCs w:val="24"/>
        </w:rPr>
        <w:lastRenderedPageBreak/>
        <w:t>salvo que posean sanciones impuestas en el mismo plazo por organismos y/o registros de proveedores de otras jurisdicciones (Nacional, Provincial, Municipal).</w:t>
      </w:r>
    </w:p>
    <w:p w:rsidR="006042E8" w:rsidRPr="006042E8" w:rsidRDefault="006042E8" w:rsidP="006042E8">
      <w:pPr>
        <w:jc w:val="both"/>
        <w:rPr>
          <w:rFonts w:ascii="Times New Roman" w:hAnsi="Times New Roman" w:cs="Times New Roman"/>
          <w:sz w:val="24"/>
          <w:szCs w:val="24"/>
        </w:rPr>
      </w:pPr>
      <w:r w:rsidRPr="006042E8">
        <w:rPr>
          <w:rFonts w:ascii="Times New Roman" w:hAnsi="Times New Roman" w:cs="Times New Roman"/>
          <w:sz w:val="24"/>
          <w:szCs w:val="24"/>
        </w:rPr>
        <w:t xml:space="preserve">Se calificará con 3 puntos a los oferentes que posean sanciones de apercibimiento dentro del año calendario anterior a la fecha de apertura de ofertas, inscriptas en el Registro Único de Proveedores de Mendoza u otros de otra jurisdicción Nacional, Provincial o Municipal. </w:t>
      </w:r>
    </w:p>
    <w:p w:rsidR="006042E8" w:rsidRPr="006042E8" w:rsidRDefault="006042E8" w:rsidP="006042E8">
      <w:pPr>
        <w:jc w:val="both"/>
        <w:rPr>
          <w:rFonts w:ascii="Times New Roman" w:hAnsi="Times New Roman" w:cs="Times New Roman"/>
          <w:sz w:val="24"/>
          <w:szCs w:val="24"/>
        </w:rPr>
      </w:pPr>
    </w:p>
    <w:p w:rsidR="006042E8" w:rsidRPr="006042E8" w:rsidRDefault="006042E8" w:rsidP="006042E8">
      <w:pPr>
        <w:jc w:val="both"/>
        <w:rPr>
          <w:rFonts w:ascii="Times New Roman" w:hAnsi="Times New Roman" w:cs="Times New Roman"/>
          <w:sz w:val="24"/>
          <w:szCs w:val="24"/>
        </w:rPr>
      </w:pPr>
      <w:r w:rsidRPr="006042E8">
        <w:rPr>
          <w:rFonts w:ascii="Times New Roman" w:hAnsi="Times New Roman" w:cs="Times New Roman"/>
          <w:sz w:val="24"/>
          <w:szCs w:val="24"/>
        </w:rPr>
        <w:t>Se calificará sin puntaje a los oferentes que posean sanciones de suspensión o bajas por incumplimientos contractuales, en el Registro Único de Proveedores de Mendoza u otros de otra jurisdicción Nacional, Provincial o Municipal, dentro del año calendario anterior a la fecha de apertura de ofertas.</w:t>
      </w:r>
    </w:p>
    <w:p w:rsidR="006042E8" w:rsidRPr="006042E8" w:rsidRDefault="006042E8" w:rsidP="006042E8">
      <w:pPr>
        <w:jc w:val="both"/>
        <w:rPr>
          <w:rFonts w:ascii="Times New Roman" w:hAnsi="Times New Roman" w:cs="Times New Roman"/>
          <w:sz w:val="24"/>
          <w:szCs w:val="24"/>
        </w:rPr>
      </w:pPr>
      <w:r w:rsidRPr="006042E8">
        <w:rPr>
          <w:rFonts w:ascii="Times New Roman" w:hAnsi="Times New Roman" w:cs="Times New Roman"/>
          <w:sz w:val="24"/>
          <w:szCs w:val="24"/>
        </w:rPr>
        <w:t>A los efectos de la evaluación se considerará la información publicada por el Registro Único de Proveedores Provincial y demás Organismos que administren dichos datos a nivel Nacional, Provincial y Municipal.</w:t>
      </w:r>
    </w:p>
    <w:p w:rsidR="006042E8" w:rsidRPr="006042E8" w:rsidRDefault="006042E8" w:rsidP="006042E8">
      <w:pPr>
        <w:jc w:val="both"/>
        <w:rPr>
          <w:rFonts w:ascii="Times New Roman" w:hAnsi="Times New Roman" w:cs="Times New Roman"/>
          <w:sz w:val="24"/>
          <w:szCs w:val="24"/>
        </w:rPr>
      </w:pPr>
    </w:p>
    <w:p w:rsidR="006042E8" w:rsidRDefault="006042E8" w:rsidP="006042E8">
      <w:pPr>
        <w:jc w:val="both"/>
        <w:rPr>
          <w:rFonts w:ascii="Times New Roman" w:hAnsi="Times New Roman" w:cs="Times New Roman"/>
          <w:sz w:val="24"/>
          <w:szCs w:val="24"/>
        </w:rPr>
      </w:pPr>
      <w:r w:rsidRPr="00E67E77">
        <w:rPr>
          <w:rFonts w:ascii="Times New Roman" w:hAnsi="Times New Roman" w:cs="Times New Roman"/>
          <w:b/>
          <w:sz w:val="24"/>
          <w:szCs w:val="24"/>
        </w:rPr>
        <w:t>b.</w:t>
      </w:r>
      <w:r w:rsidR="00E67E77">
        <w:rPr>
          <w:rFonts w:ascii="Times New Roman" w:hAnsi="Times New Roman" w:cs="Times New Roman"/>
          <w:sz w:val="24"/>
          <w:szCs w:val="24"/>
        </w:rPr>
        <w:t xml:space="preserve"> </w:t>
      </w:r>
      <w:r w:rsidRPr="006042E8">
        <w:rPr>
          <w:rFonts w:ascii="Times New Roman" w:hAnsi="Times New Roman" w:cs="Times New Roman"/>
          <w:sz w:val="24"/>
          <w:szCs w:val="24"/>
        </w:rPr>
        <w:t>Comerciales: Se otorgará el máximo puntaje previsto (5 puntos), a las ofertas que acrediten el mayor volumen de antecedentes comerciales (monto de ventas o prestación de servicios idénticos o similares a los del objeto de la contratación) que se encuentren fehacientemente documentados y/o certificados por comitentes, dentro de los últimos dos años anteriores a la publicación de la presente contratación pública. Las demás ofertas serán calificadas con el criterio de proporcionalidad, en función de los antecedentes acompañados.</w:t>
      </w:r>
    </w:p>
    <w:p w:rsidR="008B64AF" w:rsidRDefault="008B64AF" w:rsidP="006042E8">
      <w:pPr>
        <w:jc w:val="both"/>
        <w:rPr>
          <w:rFonts w:ascii="Times New Roman" w:hAnsi="Times New Roman" w:cs="Times New Roman"/>
          <w:b/>
          <w:sz w:val="24"/>
          <w:szCs w:val="24"/>
        </w:rPr>
      </w:pPr>
    </w:p>
    <w:p w:rsidR="008B64AF" w:rsidRDefault="006042E8" w:rsidP="006042E8">
      <w:pPr>
        <w:jc w:val="both"/>
        <w:rPr>
          <w:rFonts w:ascii="Times New Roman" w:hAnsi="Times New Roman" w:cs="Times New Roman"/>
          <w:b/>
          <w:sz w:val="24"/>
          <w:szCs w:val="24"/>
        </w:rPr>
      </w:pPr>
      <w:r w:rsidRPr="006042E8">
        <w:rPr>
          <w:rFonts w:ascii="Times New Roman" w:hAnsi="Times New Roman" w:cs="Times New Roman"/>
          <w:b/>
          <w:sz w:val="24"/>
          <w:szCs w:val="24"/>
        </w:rPr>
        <w:t>IMPORTANTE: A los efectos de la evaluación de los “Antecedentes Comerciales”, los oferentes deberán adjuntar la documentación comprobatoria en el PASO Nº 3 del proceso de carga de la oferta en el Sistema Comprar (Requisitos de Participación); allí, dentro del campo “REQUISITOS MÍNIMOS TÉCNICOS”, deberán adjuntarse los documentos escaneados (archivo PDF). En cualquier caso, sólo podrán considerarse los documentos comprobatorios emitidos en fecha anterior al acto de recepción de ofertas. Incluso, cuando la documentación fuera acompañada con posterioridad a dicho acto, la misma deberá ser de fecha anterior; caso contrario, no será considerada y el indicador será calificado sin puntaje.</w:t>
      </w:r>
    </w:p>
    <w:p w:rsidR="008B64AF" w:rsidRDefault="008B64AF">
      <w:pPr>
        <w:rPr>
          <w:rFonts w:ascii="Times New Roman" w:hAnsi="Times New Roman" w:cs="Times New Roman"/>
          <w:b/>
          <w:sz w:val="24"/>
          <w:szCs w:val="24"/>
        </w:rPr>
      </w:pPr>
      <w:r>
        <w:rPr>
          <w:rFonts w:ascii="Times New Roman" w:hAnsi="Times New Roman" w:cs="Times New Roman"/>
          <w:b/>
          <w:sz w:val="24"/>
          <w:szCs w:val="24"/>
        </w:rPr>
        <w:br w:type="page"/>
      </w:r>
    </w:p>
    <w:p w:rsidR="006042E8" w:rsidRDefault="006042E8" w:rsidP="006042E8">
      <w:pPr>
        <w:jc w:val="both"/>
        <w:rPr>
          <w:rFonts w:ascii="Times New Roman" w:hAnsi="Times New Roman" w:cs="Times New Roman"/>
          <w:b/>
          <w:sz w:val="24"/>
          <w:szCs w:val="24"/>
        </w:rPr>
      </w:pPr>
    </w:p>
    <w:p w:rsidR="00E67E77" w:rsidRPr="00172972" w:rsidRDefault="00172972" w:rsidP="00172972">
      <w:pPr>
        <w:spacing w:after="0" w:line="360" w:lineRule="auto"/>
        <w:ind w:left="426"/>
        <w:jc w:val="both"/>
        <w:rPr>
          <w:rFonts w:ascii="Times New Roman" w:hAnsi="Times New Roman" w:cs="Times New Roman"/>
          <w:b/>
        </w:rPr>
      </w:pPr>
      <w:r w:rsidRPr="00172972">
        <w:rPr>
          <w:rFonts w:ascii="Times New Roman" w:hAnsi="Times New Roman" w:cs="Times New Roman"/>
          <w:b/>
        </w:rPr>
        <w:t xml:space="preserve">2.  </w:t>
      </w:r>
      <w:r w:rsidR="00E67E77" w:rsidRPr="00172972">
        <w:rPr>
          <w:rFonts w:ascii="Times New Roman" w:hAnsi="Times New Roman" w:cs="Times New Roman"/>
          <w:b/>
        </w:rPr>
        <w:t xml:space="preserve">INDICADORES DE CALIDAD </w:t>
      </w:r>
    </w:p>
    <w:p w:rsidR="00E67E77" w:rsidRPr="006042E8" w:rsidRDefault="00E67E77" w:rsidP="006042E8">
      <w:pPr>
        <w:jc w:val="both"/>
        <w:rPr>
          <w:rFonts w:ascii="Times New Roman" w:hAnsi="Times New Roman" w:cs="Times New Roman"/>
          <w:sz w:val="24"/>
          <w:szCs w:val="24"/>
        </w:rPr>
      </w:pPr>
    </w:p>
    <w:tbl>
      <w:tblPr>
        <w:tblW w:w="9240" w:type="dxa"/>
        <w:tblCellMar>
          <w:left w:w="70" w:type="dxa"/>
          <w:right w:w="70" w:type="dxa"/>
        </w:tblCellMar>
        <w:tblLook w:val="04A0" w:firstRow="1" w:lastRow="0" w:firstColumn="1" w:lastColumn="0" w:noHBand="0" w:noVBand="1"/>
      </w:tblPr>
      <w:tblGrid>
        <w:gridCol w:w="2034"/>
        <w:gridCol w:w="1866"/>
        <w:gridCol w:w="1427"/>
        <w:gridCol w:w="1380"/>
        <w:gridCol w:w="2533"/>
      </w:tblGrid>
      <w:tr w:rsidR="0057576A" w:rsidRPr="0057576A" w:rsidTr="0057576A">
        <w:trPr>
          <w:trHeight w:val="600"/>
        </w:trPr>
        <w:tc>
          <w:tcPr>
            <w:tcW w:w="20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b/>
                <w:bCs/>
                <w:color w:val="000000"/>
                <w:lang w:eastAsia="es-AR"/>
              </w:rPr>
            </w:pPr>
            <w:r w:rsidRPr="0057576A">
              <w:rPr>
                <w:rFonts w:ascii="Calibri" w:eastAsia="Times New Roman" w:hAnsi="Calibri" w:cs="Calibri"/>
                <w:b/>
                <w:bCs/>
                <w:color w:val="000000"/>
                <w:lang w:eastAsia="es-AR"/>
              </w:rPr>
              <w:t>Parámetro de calidad</w:t>
            </w:r>
          </w:p>
        </w:tc>
        <w:tc>
          <w:tcPr>
            <w:tcW w:w="1756" w:type="dxa"/>
            <w:tcBorders>
              <w:top w:val="single" w:sz="4" w:space="0" w:color="auto"/>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b/>
                <w:bCs/>
                <w:color w:val="000000"/>
                <w:lang w:eastAsia="es-AR"/>
              </w:rPr>
            </w:pPr>
            <w:r w:rsidRPr="0057576A">
              <w:rPr>
                <w:rFonts w:ascii="Calibri" w:eastAsia="Times New Roman" w:hAnsi="Calibri" w:cs="Calibri"/>
                <w:b/>
                <w:bCs/>
                <w:color w:val="000000"/>
                <w:lang w:eastAsia="es-AR"/>
              </w:rPr>
              <w:t>Unidad de medida</w:t>
            </w:r>
          </w:p>
        </w:tc>
        <w:tc>
          <w:tcPr>
            <w:tcW w:w="1437" w:type="dxa"/>
            <w:tcBorders>
              <w:top w:val="single" w:sz="4" w:space="0" w:color="auto"/>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b/>
                <w:bCs/>
                <w:color w:val="000000"/>
                <w:lang w:eastAsia="es-AR"/>
              </w:rPr>
            </w:pPr>
            <w:r w:rsidRPr="0057576A">
              <w:rPr>
                <w:rFonts w:ascii="Calibri" w:eastAsia="Times New Roman" w:hAnsi="Calibri" w:cs="Calibri"/>
                <w:b/>
                <w:bCs/>
                <w:color w:val="000000"/>
                <w:lang w:eastAsia="es-AR"/>
              </w:rPr>
              <w:t>Mínimo aceptable</w:t>
            </w:r>
          </w:p>
        </w:tc>
        <w:tc>
          <w:tcPr>
            <w:tcW w:w="1393" w:type="dxa"/>
            <w:tcBorders>
              <w:top w:val="single" w:sz="4" w:space="0" w:color="auto"/>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b/>
                <w:bCs/>
                <w:color w:val="000000"/>
                <w:lang w:eastAsia="es-AR"/>
              </w:rPr>
            </w:pPr>
            <w:r w:rsidRPr="0057576A">
              <w:rPr>
                <w:rFonts w:ascii="Calibri" w:eastAsia="Times New Roman" w:hAnsi="Calibri" w:cs="Calibri"/>
                <w:b/>
                <w:bCs/>
                <w:color w:val="000000"/>
                <w:lang w:eastAsia="es-AR"/>
              </w:rPr>
              <w:t>Óptimo (máximo)</w:t>
            </w:r>
          </w:p>
        </w:tc>
        <w:tc>
          <w:tcPr>
            <w:tcW w:w="2589" w:type="dxa"/>
            <w:tcBorders>
              <w:top w:val="single" w:sz="4" w:space="0" w:color="auto"/>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b/>
                <w:bCs/>
                <w:color w:val="000000"/>
                <w:lang w:eastAsia="es-AR"/>
              </w:rPr>
            </w:pPr>
            <w:r w:rsidRPr="0057576A">
              <w:rPr>
                <w:rFonts w:ascii="Calibri" w:eastAsia="Times New Roman" w:hAnsi="Calibri" w:cs="Calibri"/>
                <w:b/>
                <w:bCs/>
                <w:color w:val="000000"/>
                <w:lang w:eastAsia="es-AR"/>
              </w:rPr>
              <w:t>Observaciones</w:t>
            </w:r>
          </w:p>
        </w:tc>
      </w:tr>
      <w:tr w:rsidR="0057576A" w:rsidRPr="0057576A" w:rsidTr="0057576A">
        <w:trPr>
          <w:trHeight w:val="600"/>
        </w:trPr>
        <w:tc>
          <w:tcPr>
            <w:tcW w:w="2065" w:type="dxa"/>
            <w:tcBorders>
              <w:top w:val="nil"/>
              <w:left w:val="single" w:sz="4" w:space="0" w:color="auto"/>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Gramaje del tejido</w:t>
            </w:r>
          </w:p>
        </w:tc>
        <w:tc>
          <w:tcPr>
            <w:tcW w:w="1756"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g/m²</w:t>
            </w:r>
          </w:p>
        </w:tc>
        <w:tc>
          <w:tcPr>
            <w:tcW w:w="1437"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220 g/m²</w:t>
            </w:r>
          </w:p>
        </w:tc>
        <w:tc>
          <w:tcPr>
            <w:tcW w:w="1393"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 280 g/m²</w:t>
            </w:r>
          </w:p>
        </w:tc>
        <w:tc>
          <w:tcPr>
            <w:tcW w:w="2589"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A mayor gramaje, mayor espesor, abrigo y durabilidad</w:t>
            </w:r>
          </w:p>
        </w:tc>
      </w:tr>
      <w:tr w:rsidR="0057576A" w:rsidRPr="0057576A" w:rsidTr="0057576A">
        <w:trPr>
          <w:trHeight w:val="900"/>
        </w:trPr>
        <w:tc>
          <w:tcPr>
            <w:tcW w:w="2065" w:type="dxa"/>
            <w:tcBorders>
              <w:top w:val="nil"/>
              <w:left w:val="single" w:sz="4" w:space="0" w:color="auto"/>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Tipo de tejido</w:t>
            </w:r>
          </w:p>
        </w:tc>
        <w:tc>
          <w:tcPr>
            <w:tcW w:w="1756"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Cualitativo</w:t>
            </w:r>
          </w:p>
        </w:tc>
        <w:tc>
          <w:tcPr>
            <w:tcW w:w="1437"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proofErr w:type="spellStart"/>
            <w:r w:rsidRPr="0057576A">
              <w:rPr>
                <w:rFonts w:ascii="Calibri" w:eastAsia="Times New Roman" w:hAnsi="Calibri" w:cs="Calibri"/>
                <w:color w:val="000000"/>
                <w:lang w:eastAsia="es-AR"/>
              </w:rPr>
              <w:t>Micropolar</w:t>
            </w:r>
            <w:proofErr w:type="spellEnd"/>
            <w:r w:rsidRPr="0057576A">
              <w:rPr>
                <w:rFonts w:ascii="Calibri" w:eastAsia="Times New Roman" w:hAnsi="Calibri" w:cs="Calibri"/>
                <w:color w:val="000000"/>
                <w:lang w:eastAsia="es-AR"/>
              </w:rPr>
              <w:t xml:space="preserve"> 100% poliéster</w:t>
            </w:r>
          </w:p>
        </w:tc>
        <w:tc>
          <w:tcPr>
            <w:tcW w:w="1393"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proofErr w:type="spellStart"/>
            <w:r w:rsidRPr="0057576A">
              <w:rPr>
                <w:rFonts w:ascii="Calibri" w:eastAsia="Times New Roman" w:hAnsi="Calibri" w:cs="Calibri"/>
                <w:color w:val="000000"/>
                <w:lang w:eastAsia="es-AR"/>
              </w:rPr>
              <w:t>Micropolar</w:t>
            </w:r>
            <w:proofErr w:type="spellEnd"/>
            <w:r w:rsidRPr="0057576A">
              <w:rPr>
                <w:rFonts w:ascii="Calibri" w:eastAsia="Times New Roman" w:hAnsi="Calibri" w:cs="Calibri"/>
                <w:color w:val="000000"/>
                <w:lang w:eastAsia="es-AR"/>
              </w:rPr>
              <w:t xml:space="preserve"> doble faz </w:t>
            </w:r>
            <w:proofErr w:type="spellStart"/>
            <w:r w:rsidRPr="0057576A">
              <w:rPr>
                <w:rFonts w:ascii="Calibri" w:eastAsia="Times New Roman" w:hAnsi="Calibri" w:cs="Calibri"/>
                <w:color w:val="000000"/>
                <w:lang w:eastAsia="es-AR"/>
              </w:rPr>
              <w:t>antipeeling</w:t>
            </w:r>
            <w:proofErr w:type="spellEnd"/>
          </w:p>
        </w:tc>
        <w:tc>
          <w:tcPr>
            <w:tcW w:w="2589"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Se valora resistencia al desgaste y textura suave</w:t>
            </w:r>
          </w:p>
        </w:tc>
      </w:tr>
      <w:tr w:rsidR="0057576A" w:rsidRPr="0057576A" w:rsidTr="0057576A">
        <w:trPr>
          <w:trHeight w:val="600"/>
        </w:trPr>
        <w:tc>
          <w:tcPr>
            <w:tcW w:w="2065" w:type="dxa"/>
            <w:tcBorders>
              <w:top w:val="nil"/>
              <w:left w:val="single" w:sz="4" w:space="0" w:color="auto"/>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 xml:space="preserve">Acabado </w:t>
            </w:r>
            <w:proofErr w:type="spellStart"/>
            <w:r w:rsidRPr="0057576A">
              <w:rPr>
                <w:rFonts w:ascii="Calibri" w:eastAsia="Times New Roman" w:hAnsi="Calibri" w:cs="Calibri"/>
                <w:color w:val="000000"/>
                <w:lang w:eastAsia="es-AR"/>
              </w:rPr>
              <w:t>antipeeling</w:t>
            </w:r>
            <w:proofErr w:type="spellEnd"/>
          </w:p>
        </w:tc>
        <w:tc>
          <w:tcPr>
            <w:tcW w:w="1756"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Presencia/ausencia</w:t>
            </w:r>
          </w:p>
        </w:tc>
        <w:tc>
          <w:tcPr>
            <w:tcW w:w="1437"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No</w:t>
            </w:r>
          </w:p>
        </w:tc>
        <w:tc>
          <w:tcPr>
            <w:tcW w:w="1393"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Sí</w:t>
            </w:r>
          </w:p>
        </w:tc>
        <w:tc>
          <w:tcPr>
            <w:tcW w:w="2589"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Evita formación de bolitas con el uso</w:t>
            </w:r>
          </w:p>
        </w:tc>
      </w:tr>
      <w:tr w:rsidR="0057576A" w:rsidRPr="0057576A" w:rsidTr="0057576A">
        <w:trPr>
          <w:trHeight w:val="600"/>
        </w:trPr>
        <w:tc>
          <w:tcPr>
            <w:tcW w:w="2065" w:type="dxa"/>
            <w:tcBorders>
              <w:top w:val="nil"/>
              <w:left w:val="single" w:sz="4" w:space="0" w:color="auto"/>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Costura perimetral</w:t>
            </w:r>
          </w:p>
        </w:tc>
        <w:tc>
          <w:tcPr>
            <w:tcW w:w="1756"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Tipo y calidad</w:t>
            </w:r>
          </w:p>
        </w:tc>
        <w:tc>
          <w:tcPr>
            <w:tcW w:w="1437"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Simple, reforzada</w:t>
            </w:r>
          </w:p>
        </w:tc>
        <w:tc>
          <w:tcPr>
            <w:tcW w:w="1393"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Doble costura reforzada</w:t>
            </w:r>
          </w:p>
        </w:tc>
        <w:tc>
          <w:tcPr>
            <w:tcW w:w="2589"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Mejora la resistencia y evita deshilachado</w:t>
            </w:r>
          </w:p>
        </w:tc>
      </w:tr>
      <w:tr w:rsidR="0057576A" w:rsidRPr="0057576A" w:rsidTr="0057576A">
        <w:trPr>
          <w:trHeight w:val="900"/>
        </w:trPr>
        <w:tc>
          <w:tcPr>
            <w:tcW w:w="2065" w:type="dxa"/>
            <w:tcBorders>
              <w:top w:val="nil"/>
              <w:left w:val="single" w:sz="4" w:space="0" w:color="auto"/>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Medidas estándar</w:t>
            </w:r>
          </w:p>
        </w:tc>
        <w:tc>
          <w:tcPr>
            <w:tcW w:w="1756"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cm</w:t>
            </w:r>
          </w:p>
        </w:tc>
        <w:tc>
          <w:tcPr>
            <w:tcW w:w="1437"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140x180 cm</w:t>
            </w:r>
          </w:p>
        </w:tc>
        <w:tc>
          <w:tcPr>
            <w:tcW w:w="1393"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150x220 cm</w:t>
            </w:r>
          </w:p>
        </w:tc>
        <w:tc>
          <w:tcPr>
            <w:tcW w:w="2589"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Medidas mínimas para adulto; mayor tamaño, mayor versatilidad</w:t>
            </w:r>
          </w:p>
        </w:tc>
      </w:tr>
      <w:tr w:rsidR="0057576A" w:rsidRPr="0057576A" w:rsidTr="0057576A">
        <w:trPr>
          <w:trHeight w:val="600"/>
        </w:trPr>
        <w:tc>
          <w:tcPr>
            <w:tcW w:w="2065" w:type="dxa"/>
            <w:tcBorders>
              <w:top w:val="nil"/>
              <w:left w:val="single" w:sz="4" w:space="0" w:color="auto"/>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Tacto al contacto</w:t>
            </w:r>
          </w:p>
        </w:tc>
        <w:tc>
          <w:tcPr>
            <w:tcW w:w="1756"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Escala sensorial (1-5)</w:t>
            </w:r>
          </w:p>
        </w:tc>
        <w:tc>
          <w:tcPr>
            <w:tcW w:w="1437"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 3</w:t>
            </w:r>
          </w:p>
        </w:tc>
        <w:tc>
          <w:tcPr>
            <w:tcW w:w="1393"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5 (muy suave)</w:t>
            </w:r>
          </w:p>
        </w:tc>
        <w:tc>
          <w:tcPr>
            <w:tcW w:w="2589"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Evaluación perceptiva controlada</w:t>
            </w:r>
          </w:p>
        </w:tc>
      </w:tr>
      <w:tr w:rsidR="0057576A" w:rsidRPr="0057576A" w:rsidTr="0057576A">
        <w:trPr>
          <w:trHeight w:val="300"/>
        </w:trPr>
        <w:tc>
          <w:tcPr>
            <w:tcW w:w="2065" w:type="dxa"/>
            <w:tcBorders>
              <w:top w:val="nil"/>
              <w:left w:val="single" w:sz="4" w:space="0" w:color="auto"/>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Solidez del color</w:t>
            </w:r>
          </w:p>
        </w:tc>
        <w:tc>
          <w:tcPr>
            <w:tcW w:w="1756"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Norma ISO 105</w:t>
            </w:r>
          </w:p>
        </w:tc>
        <w:tc>
          <w:tcPr>
            <w:tcW w:w="1437"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 3</w:t>
            </w:r>
          </w:p>
        </w:tc>
        <w:tc>
          <w:tcPr>
            <w:tcW w:w="1393"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4-may</w:t>
            </w:r>
          </w:p>
        </w:tc>
        <w:tc>
          <w:tcPr>
            <w:tcW w:w="2589"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Mide si destiñe al lavado o uso</w:t>
            </w:r>
          </w:p>
        </w:tc>
      </w:tr>
      <w:tr w:rsidR="0057576A" w:rsidRPr="0057576A" w:rsidTr="0057576A">
        <w:trPr>
          <w:trHeight w:val="600"/>
        </w:trPr>
        <w:tc>
          <w:tcPr>
            <w:tcW w:w="2065" w:type="dxa"/>
            <w:tcBorders>
              <w:top w:val="nil"/>
              <w:left w:val="single" w:sz="4" w:space="0" w:color="auto"/>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Encogimiento al lavado</w:t>
            </w:r>
          </w:p>
        </w:tc>
        <w:tc>
          <w:tcPr>
            <w:tcW w:w="1756"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 encogimiento</w:t>
            </w:r>
          </w:p>
        </w:tc>
        <w:tc>
          <w:tcPr>
            <w:tcW w:w="1437"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 5%</w:t>
            </w:r>
          </w:p>
        </w:tc>
        <w:tc>
          <w:tcPr>
            <w:tcW w:w="1393"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 2%</w:t>
            </w:r>
          </w:p>
        </w:tc>
        <w:tc>
          <w:tcPr>
            <w:tcW w:w="2589"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Se evalúa tras lavado a 40°C</w:t>
            </w:r>
          </w:p>
        </w:tc>
      </w:tr>
      <w:tr w:rsidR="0057576A" w:rsidRPr="0057576A" w:rsidTr="0057576A">
        <w:trPr>
          <w:trHeight w:val="900"/>
        </w:trPr>
        <w:tc>
          <w:tcPr>
            <w:tcW w:w="2065" w:type="dxa"/>
            <w:tcBorders>
              <w:top w:val="nil"/>
              <w:left w:val="single" w:sz="4" w:space="0" w:color="auto"/>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Tolerancia térmica</w:t>
            </w:r>
          </w:p>
        </w:tc>
        <w:tc>
          <w:tcPr>
            <w:tcW w:w="1756"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Temperatura mínima de confort</w:t>
            </w:r>
          </w:p>
        </w:tc>
        <w:tc>
          <w:tcPr>
            <w:tcW w:w="1437"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 15 °C</w:t>
            </w:r>
          </w:p>
        </w:tc>
        <w:tc>
          <w:tcPr>
            <w:tcW w:w="1393"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 10 °C</w:t>
            </w:r>
          </w:p>
        </w:tc>
        <w:tc>
          <w:tcPr>
            <w:tcW w:w="2589"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Bajo condiciones estándar (uso sin calefacción)</w:t>
            </w:r>
          </w:p>
        </w:tc>
      </w:tr>
      <w:tr w:rsidR="0057576A" w:rsidRPr="0057576A" w:rsidTr="0057576A">
        <w:trPr>
          <w:trHeight w:val="600"/>
        </w:trPr>
        <w:tc>
          <w:tcPr>
            <w:tcW w:w="2065" w:type="dxa"/>
            <w:tcBorders>
              <w:top w:val="nil"/>
              <w:left w:val="single" w:sz="4" w:space="0" w:color="auto"/>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Certificaciones</w:t>
            </w:r>
          </w:p>
        </w:tc>
        <w:tc>
          <w:tcPr>
            <w:tcW w:w="1756"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Certificación textil</w:t>
            </w:r>
          </w:p>
        </w:tc>
        <w:tc>
          <w:tcPr>
            <w:tcW w:w="1437"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Sin certificación</w:t>
            </w:r>
          </w:p>
        </w:tc>
        <w:tc>
          <w:tcPr>
            <w:tcW w:w="1393"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OEKO-TEX o similar</w:t>
            </w:r>
          </w:p>
        </w:tc>
        <w:tc>
          <w:tcPr>
            <w:tcW w:w="2589" w:type="dxa"/>
            <w:tcBorders>
              <w:top w:val="nil"/>
              <w:left w:val="nil"/>
              <w:bottom w:val="single" w:sz="4" w:space="0" w:color="auto"/>
              <w:right w:val="single" w:sz="4" w:space="0" w:color="auto"/>
            </w:tcBorders>
            <w:shd w:val="clear" w:color="auto" w:fill="auto"/>
            <w:vAlign w:val="bottom"/>
            <w:hideMark/>
          </w:tcPr>
          <w:p w:rsidR="0057576A" w:rsidRPr="0057576A" w:rsidRDefault="0057576A" w:rsidP="0057576A">
            <w:pPr>
              <w:spacing w:after="0" w:line="240" w:lineRule="auto"/>
              <w:jc w:val="center"/>
              <w:rPr>
                <w:rFonts w:ascii="Calibri" w:eastAsia="Times New Roman" w:hAnsi="Calibri" w:cs="Calibri"/>
                <w:color w:val="000000"/>
                <w:lang w:eastAsia="es-AR"/>
              </w:rPr>
            </w:pPr>
            <w:r w:rsidRPr="0057576A">
              <w:rPr>
                <w:rFonts w:ascii="Calibri" w:eastAsia="Times New Roman" w:hAnsi="Calibri" w:cs="Calibri"/>
                <w:color w:val="000000"/>
                <w:lang w:eastAsia="es-AR"/>
              </w:rPr>
              <w:t>Asegura ausencia de sustancias nocivas</w:t>
            </w:r>
          </w:p>
        </w:tc>
      </w:tr>
    </w:tbl>
    <w:p w:rsidR="004B0BF3" w:rsidRPr="006042E8" w:rsidRDefault="004B0BF3" w:rsidP="006042E8">
      <w:pPr>
        <w:jc w:val="both"/>
        <w:rPr>
          <w:rFonts w:ascii="Times New Roman" w:hAnsi="Times New Roman" w:cs="Times New Roman"/>
          <w:sz w:val="24"/>
          <w:szCs w:val="24"/>
        </w:rPr>
      </w:pPr>
    </w:p>
    <w:p w:rsidR="004B0BF3" w:rsidRPr="006042E8" w:rsidRDefault="006042E8" w:rsidP="006042E8">
      <w:pPr>
        <w:jc w:val="both"/>
        <w:rPr>
          <w:rFonts w:ascii="Times New Roman" w:hAnsi="Times New Roman" w:cs="Times New Roman"/>
          <w:sz w:val="24"/>
          <w:szCs w:val="24"/>
        </w:rPr>
      </w:pPr>
      <w:r w:rsidRPr="006042E8">
        <w:rPr>
          <w:rFonts w:ascii="Times New Roman" w:hAnsi="Times New Roman" w:cs="Times New Roman"/>
          <w:sz w:val="24"/>
          <w:szCs w:val="24"/>
        </w:rPr>
        <w:t>Es importante tener en cuenta que la priorización de los índices de calidad puede variar dependiendo de las necesidades específicas de la persona con baja audición,  l</w:t>
      </w:r>
      <w:r w:rsidR="004B0BF3" w:rsidRPr="006042E8">
        <w:rPr>
          <w:rFonts w:ascii="Times New Roman" w:hAnsi="Times New Roman" w:cs="Times New Roman"/>
          <w:sz w:val="24"/>
          <w:szCs w:val="24"/>
        </w:rPr>
        <w:t>os valores mínimos y máximos son solo sugerencias y pueden variar dependiendo de las necesidades específicas de la persona con baja audición.</w:t>
      </w:r>
    </w:p>
    <w:p w:rsidR="006042E8" w:rsidRPr="006042E8" w:rsidRDefault="006042E8" w:rsidP="006042E8">
      <w:pPr>
        <w:jc w:val="both"/>
        <w:rPr>
          <w:rFonts w:ascii="Times New Roman" w:hAnsi="Times New Roman" w:cs="Times New Roman"/>
          <w:sz w:val="24"/>
          <w:szCs w:val="24"/>
        </w:rPr>
      </w:pPr>
      <w:r w:rsidRPr="00F321F4">
        <w:rPr>
          <w:rFonts w:ascii="Times New Roman" w:hAnsi="Times New Roman" w:cs="Times New Roman"/>
          <w:b/>
          <w:sz w:val="28"/>
          <w:szCs w:val="28"/>
        </w:rPr>
        <w:t>Evaluación cuadro índices de calidad</w:t>
      </w:r>
      <w:r w:rsidRPr="00F321F4">
        <w:rPr>
          <w:rFonts w:ascii="Times New Roman" w:hAnsi="Times New Roman" w:cs="Times New Roman"/>
          <w:sz w:val="28"/>
          <w:szCs w:val="28"/>
        </w:rPr>
        <w:t>:</w:t>
      </w:r>
      <w:r w:rsidRPr="006042E8">
        <w:rPr>
          <w:rFonts w:ascii="Times New Roman" w:hAnsi="Times New Roman" w:cs="Times New Roman"/>
          <w:sz w:val="24"/>
          <w:szCs w:val="24"/>
        </w:rPr>
        <w:t xml:space="preserve"> se evaluaran otorgando el máximo puntaje previsto para cada indicativo que alcance el máximo valor indicado en el cuadro, el resto de las ofertas se calificaran con la regla de proporcionalidad hasta llegar al mínimo expresado, las ofertas que no superen los valores más bajos informados en la tabla  serán calificados  con (0 puntos).</w:t>
      </w:r>
    </w:p>
    <w:p w:rsidR="006042E8" w:rsidRDefault="006042E8" w:rsidP="006042E8">
      <w:pPr>
        <w:jc w:val="both"/>
        <w:rPr>
          <w:rFonts w:ascii="Times New Roman" w:hAnsi="Times New Roman" w:cs="Times New Roman"/>
          <w:b/>
          <w:sz w:val="24"/>
          <w:szCs w:val="24"/>
        </w:rPr>
      </w:pPr>
      <w:r w:rsidRPr="006042E8">
        <w:rPr>
          <w:rFonts w:ascii="Times New Roman" w:hAnsi="Times New Roman" w:cs="Times New Roman"/>
          <w:b/>
          <w:sz w:val="24"/>
          <w:szCs w:val="24"/>
        </w:rPr>
        <w:t xml:space="preserve">Nota: estos indicadores deben ser respaldados con la folletería, ficha técnica  o de la Pagina Web oficial del  fabricante. </w:t>
      </w:r>
    </w:p>
    <w:p w:rsidR="003B39CB" w:rsidRDefault="003B39CB" w:rsidP="006042E8">
      <w:pPr>
        <w:jc w:val="both"/>
        <w:rPr>
          <w:rFonts w:ascii="Times New Roman" w:hAnsi="Times New Roman" w:cs="Times New Roman"/>
          <w:b/>
          <w:sz w:val="24"/>
          <w:szCs w:val="24"/>
        </w:rPr>
      </w:pPr>
    </w:p>
    <w:p w:rsidR="00172972" w:rsidRPr="00F321F4" w:rsidRDefault="00172972" w:rsidP="006042E8">
      <w:pPr>
        <w:jc w:val="both"/>
        <w:rPr>
          <w:rFonts w:ascii="Times New Roman" w:hAnsi="Times New Roman" w:cs="Times New Roman"/>
          <w:b/>
          <w:sz w:val="28"/>
          <w:szCs w:val="28"/>
        </w:rPr>
      </w:pPr>
      <w:r>
        <w:rPr>
          <w:rFonts w:ascii="Times New Roman" w:hAnsi="Times New Roman" w:cs="Times New Roman"/>
          <w:b/>
          <w:sz w:val="24"/>
          <w:szCs w:val="24"/>
        </w:rPr>
        <w:lastRenderedPageBreak/>
        <w:t xml:space="preserve">3. </w:t>
      </w:r>
      <w:r w:rsidRPr="00F321F4">
        <w:rPr>
          <w:rFonts w:ascii="Times New Roman" w:hAnsi="Times New Roman" w:cs="Times New Roman"/>
          <w:b/>
          <w:sz w:val="28"/>
          <w:szCs w:val="28"/>
        </w:rPr>
        <w:t>Plazo de Entrega:</w:t>
      </w:r>
    </w:p>
    <w:p w:rsidR="000825CC" w:rsidRPr="000825CC" w:rsidRDefault="000825CC" w:rsidP="000825CC">
      <w:pPr>
        <w:spacing w:line="360" w:lineRule="auto"/>
        <w:jc w:val="both"/>
        <w:rPr>
          <w:rFonts w:ascii="Times New Roman" w:eastAsia="Times New Roman" w:hAnsi="Times New Roman" w:cs="Times New Roman"/>
          <w:sz w:val="24"/>
          <w:szCs w:val="24"/>
        </w:rPr>
      </w:pPr>
      <w:r w:rsidRPr="000825CC">
        <w:rPr>
          <w:rFonts w:ascii="Times New Roman" w:eastAsia="Times New Roman" w:hAnsi="Times New Roman" w:cs="Times New Roman"/>
          <w:sz w:val="24"/>
          <w:szCs w:val="24"/>
        </w:rPr>
        <w:t>Teniendo en cuenta el plazo de cumplimiento estipulado por el Pliego de Condiciones Particulares respecto de la obligación principal inherente al objeto de la contratación (la entrega de los bienes), se calificará con el máximo puntaje previsto (10 puntos) a la oferta que proponga dicho cumplimiento en el menor plazo cierto determinado por el oferente (oferta superadora). Las demás ofertas serán calificadas conforme el criterio de la proporcionalidad.</w:t>
      </w:r>
    </w:p>
    <w:p w:rsidR="000825CC" w:rsidRDefault="000825CC" w:rsidP="000825CC">
      <w:pPr>
        <w:jc w:val="both"/>
        <w:rPr>
          <w:rFonts w:ascii="Times New Roman" w:hAnsi="Times New Roman" w:cs="Times New Roman"/>
          <w:b/>
          <w:sz w:val="24"/>
          <w:szCs w:val="24"/>
        </w:rPr>
      </w:pPr>
      <w:r w:rsidRPr="000825CC">
        <w:rPr>
          <w:rFonts w:ascii="Times New Roman" w:eastAsia="Times New Roman" w:hAnsi="Times New Roman" w:cs="Times New Roman"/>
          <w:b/>
          <w:sz w:val="24"/>
          <w:szCs w:val="24"/>
        </w:rPr>
        <w:t>ATENCION: El plazo de entrega que planifique el oferente en su propuesta se considerará una Declaración Jurada de cumplimiento del contrato. Por lo tanto, ante la mora (mora automática imputable), por cada día de retardo se aplicará una multa diaria del 0,1% del valor del/los bien/es no entregado/s dentro del plazo propuesto</w:t>
      </w:r>
      <w:r w:rsidRPr="008A7F55">
        <w:rPr>
          <w:rFonts w:ascii="Arial" w:eastAsia="Times New Roman" w:hAnsi="Arial" w:cs="Arial"/>
          <w:sz w:val="24"/>
          <w:szCs w:val="24"/>
        </w:rPr>
        <w:t>.</w:t>
      </w:r>
    </w:p>
    <w:p w:rsidR="008B64AF" w:rsidRDefault="008B64AF" w:rsidP="006042E8">
      <w:pPr>
        <w:jc w:val="both"/>
        <w:rPr>
          <w:rFonts w:ascii="Times New Roman" w:hAnsi="Times New Roman" w:cs="Times New Roman"/>
          <w:b/>
          <w:sz w:val="24"/>
          <w:szCs w:val="24"/>
        </w:rPr>
      </w:pPr>
    </w:p>
    <w:p w:rsidR="006042E8" w:rsidRPr="006042E8" w:rsidRDefault="00A757B2" w:rsidP="006042E8">
      <w:pPr>
        <w:jc w:val="both"/>
        <w:rPr>
          <w:rFonts w:ascii="Times New Roman" w:hAnsi="Times New Roman" w:cs="Times New Roman"/>
          <w:b/>
          <w:sz w:val="24"/>
          <w:szCs w:val="24"/>
        </w:rPr>
      </w:pPr>
      <w:r>
        <w:rPr>
          <w:rFonts w:ascii="Times New Roman" w:hAnsi="Times New Roman" w:cs="Times New Roman"/>
          <w:b/>
          <w:sz w:val="24"/>
          <w:szCs w:val="24"/>
        </w:rPr>
        <w:t>4</w:t>
      </w:r>
      <w:r w:rsidR="006042E8" w:rsidRPr="006042E8">
        <w:rPr>
          <w:rFonts w:ascii="Times New Roman" w:hAnsi="Times New Roman" w:cs="Times New Roman"/>
          <w:b/>
          <w:sz w:val="24"/>
          <w:szCs w:val="24"/>
        </w:rPr>
        <w:t>.</w:t>
      </w:r>
      <w:r w:rsidR="006042E8">
        <w:rPr>
          <w:rFonts w:ascii="Times New Roman" w:hAnsi="Times New Roman" w:cs="Times New Roman"/>
          <w:sz w:val="24"/>
          <w:szCs w:val="24"/>
        </w:rPr>
        <w:t xml:space="preserve"> </w:t>
      </w:r>
      <w:r w:rsidR="006042E8" w:rsidRPr="006042E8">
        <w:rPr>
          <w:rFonts w:ascii="Times New Roman" w:hAnsi="Times New Roman" w:cs="Times New Roman"/>
          <w:b/>
          <w:sz w:val="24"/>
          <w:szCs w:val="24"/>
        </w:rPr>
        <w:t>ACREDITACIÓN DE OBJETIVOS DE DESARROLLO SOSTENIBLE (S/LEY 9193):</w:t>
      </w:r>
    </w:p>
    <w:p w:rsidR="006042E8" w:rsidRPr="006042E8" w:rsidRDefault="006042E8" w:rsidP="006042E8">
      <w:pPr>
        <w:jc w:val="both"/>
        <w:rPr>
          <w:rFonts w:ascii="Times New Roman" w:hAnsi="Times New Roman" w:cs="Times New Roman"/>
          <w:sz w:val="24"/>
          <w:szCs w:val="24"/>
        </w:rPr>
      </w:pPr>
      <w:r w:rsidRPr="006042E8">
        <w:rPr>
          <w:rFonts w:ascii="Times New Roman" w:hAnsi="Times New Roman" w:cs="Times New Roman"/>
          <w:sz w:val="24"/>
          <w:szCs w:val="24"/>
        </w:rPr>
        <w:t>Para la presente contratación  se considera relevante la evaluación del desempeño empresario de los oferentes, a la luz de las metas de los Objetivos de Desarrollo Sostenible del Pacto Global de las Naciones Unidas (ver  https://www.un.org/sustainabledevelopment/es/objetivos-de-desarrollo-sostenible/).</w:t>
      </w:r>
    </w:p>
    <w:p w:rsidR="006042E8" w:rsidRPr="006042E8" w:rsidRDefault="006042E8" w:rsidP="006042E8">
      <w:pPr>
        <w:jc w:val="both"/>
        <w:rPr>
          <w:rFonts w:ascii="Times New Roman" w:hAnsi="Times New Roman" w:cs="Times New Roman"/>
          <w:sz w:val="24"/>
          <w:szCs w:val="24"/>
        </w:rPr>
      </w:pPr>
      <w:r w:rsidRPr="006042E8">
        <w:rPr>
          <w:rFonts w:ascii="Times New Roman" w:hAnsi="Times New Roman" w:cs="Times New Roman"/>
          <w:sz w:val="24"/>
          <w:szCs w:val="24"/>
        </w:rPr>
        <w:t xml:space="preserve">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(https://www.mendoza.gov.ar/compras/compras-publicas-sustentables/). A este efecto, se informan los siguientes ponderadores de calificación del desempeño empresario sustentable, adoptados por la Guía Elemental del Programa de Compras Sustentables de la Administración Provincial (ver: https://www.mendoza.gov.ar/compras/compras-publicas-sustentables/): </w:t>
      </w:r>
    </w:p>
    <w:p w:rsidR="006042E8" w:rsidRPr="006042E8" w:rsidRDefault="006042E8" w:rsidP="006042E8">
      <w:pPr>
        <w:jc w:val="both"/>
        <w:rPr>
          <w:rFonts w:ascii="Times New Roman" w:hAnsi="Times New Roman" w:cs="Times New Roman"/>
          <w:sz w:val="24"/>
          <w:szCs w:val="24"/>
        </w:rPr>
      </w:pPr>
    </w:p>
    <w:p w:rsidR="006042E8" w:rsidRPr="006042E8" w:rsidRDefault="00A757B2" w:rsidP="006042E8">
      <w:pPr>
        <w:jc w:val="both"/>
        <w:rPr>
          <w:rFonts w:ascii="Times New Roman" w:hAnsi="Times New Roman" w:cs="Times New Roman"/>
          <w:sz w:val="24"/>
          <w:szCs w:val="24"/>
        </w:rPr>
      </w:pPr>
      <w:r>
        <w:rPr>
          <w:rFonts w:ascii="Times New Roman" w:hAnsi="Times New Roman" w:cs="Times New Roman"/>
          <w:b/>
          <w:sz w:val="24"/>
          <w:szCs w:val="24"/>
        </w:rPr>
        <w:t>5</w:t>
      </w:r>
      <w:r w:rsidR="00172972">
        <w:rPr>
          <w:rFonts w:ascii="Times New Roman" w:hAnsi="Times New Roman" w:cs="Times New Roman"/>
          <w:sz w:val="24"/>
          <w:szCs w:val="24"/>
        </w:rPr>
        <w:t xml:space="preserve">. </w:t>
      </w:r>
      <w:r w:rsidR="006042E8" w:rsidRPr="006042E8">
        <w:rPr>
          <w:rFonts w:ascii="Times New Roman" w:hAnsi="Times New Roman" w:cs="Times New Roman"/>
          <w:b/>
          <w:sz w:val="24"/>
          <w:szCs w:val="24"/>
        </w:rPr>
        <w:t>OFERTA ECONÓMICA</w:t>
      </w:r>
      <w:r w:rsidR="006042E8" w:rsidRPr="006042E8">
        <w:rPr>
          <w:rFonts w:ascii="Times New Roman" w:hAnsi="Times New Roman" w:cs="Times New Roman"/>
          <w:sz w:val="24"/>
          <w:szCs w:val="24"/>
        </w:rPr>
        <w:t>:</w:t>
      </w:r>
    </w:p>
    <w:p w:rsidR="006042E8" w:rsidRPr="006042E8" w:rsidRDefault="006042E8" w:rsidP="006042E8">
      <w:pPr>
        <w:jc w:val="both"/>
        <w:rPr>
          <w:rFonts w:ascii="Times New Roman" w:hAnsi="Times New Roman" w:cs="Times New Roman"/>
          <w:sz w:val="24"/>
          <w:szCs w:val="24"/>
        </w:rPr>
      </w:pPr>
      <w:r w:rsidRPr="006042E8">
        <w:rPr>
          <w:rFonts w:ascii="Times New Roman" w:hAnsi="Times New Roman" w:cs="Times New Roman"/>
          <w:sz w:val="24"/>
          <w:szCs w:val="24"/>
        </w:rPr>
        <w:t xml:space="preserve">Para este rubro se asignará el máximo puntaje previsto (40 puntos) a la oferta que, siendo formal y técnicamente admisible, resulte ser la de menor precio. Las demás serán puntuadas conforme la regla de proporcionalidad. </w:t>
      </w:r>
    </w:p>
    <w:p w:rsidR="006042E8" w:rsidRPr="006042E8" w:rsidRDefault="006042E8" w:rsidP="006042E8">
      <w:pPr>
        <w:jc w:val="both"/>
        <w:rPr>
          <w:rFonts w:ascii="Times New Roman" w:hAnsi="Times New Roman" w:cs="Times New Roman"/>
          <w:sz w:val="24"/>
          <w:szCs w:val="24"/>
        </w:rPr>
      </w:pPr>
      <w:r w:rsidRPr="006042E8">
        <w:rPr>
          <w:rFonts w:ascii="Times New Roman" w:hAnsi="Times New Roman" w:cs="Times New Roman"/>
          <w:sz w:val="24"/>
          <w:szCs w:val="24"/>
        </w:rPr>
        <w:t xml:space="preserve">Por regla, las ofertas que no superen los 40 puntos serán desestimadas por inconvenientes. La Administración licitante, en virtud de razones fundadas, podrá valorar como </w:t>
      </w:r>
      <w:r w:rsidRPr="006042E8">
        <w:rPr>
          <w:rFonts w:ascii="Times New Roman" w:hAnsi="Times New Roman" w:cs="Times New Roman"/>
          <w:sz w:val="24"/>
          <w:szCs w:val="24"/>
        </w:rPr>
        <w:lastRenderedPageBreak/>
        <w:t>conveniente a una oferta determinada, en caso de que la misma no alcanzare el mínimo establecido.</w:t>
      </w:r>
    </w:p>
    <w:p w:rsidR="006042E8" w:rsidRPr="008B64AF" w:rsidRDefault="006042E8" w:rsidP="006042E8">
      <w:pPr>
        <w:jc w:val="both"/>
        <w:rPr>
          <w:rFonts w:ascii="Times New Roman" w:hAnsi="Times New Roman" w:cs="Times New Roman"/>
          <w:b/>
          <w:sz w:val="24"/>
          <w:szCs w:val="24"/>
        </w:rPr>
      </w:pPr>
      <w:r w:rsidRPr="008B64AF">
        <w:rPr>
          <w:rFonts w:ascii="Times New Roman" w:hAnsi="Times New Roman" w:cs="Times New Roman"/>
          <w:b/>
          <w:sz w:val="24"/>
          <w:szCs w:val="24"/>
        </w:rPr>
        <w:t>IMPORTANTE: Se recuerda que esta Grilla Modelo -como toda Grilla Modelo- puede ser modificada por el Organismo Contratante, debiendo en tal caso preservarse la razonabilidad de los indicadores y su coherencia con las particularidades del servicio a contratar.</w:t>
      </w:r>
    </w:p>
    <w:p w:rsidR="006042E8" w:rsidRPr="006042E8" w:rsidRDefault="006042E8" w:rsidP="006042E8">
      <w:pPr>
        <w:jc w:val="both"/>
        <w:rPr>
          <w:rFonts w:ascii="Times New Roman" w:hAnsi="Times New Roman" w:cs="Times New Roman"/>
          <w:sz w:val="24"/>
          <w:szCs w:val="24"/>
        </w:rPr>
      </w:pPr>
    </w:p>
    <w:p w:rsidR="004B0BF3" w:rsidRPr="006042E8" w:rsidRDefault="004B0BF3" w:rsidP="006042E8">
      <w:pPr>
        <w:jc w:val="both"/>
        <w:rPr>
          <w:rFonts w:ascii="Times New Roman" w:hAnsi="Times New Roman" w:cs="Times New Roman"/>
          <w:sz w:val="24"/>
          <w:szCs w:val="24"/>
        </w:rPr>
      </w:pPr>
    </w:p>
    <w:p w:rsidR="004B0BF3" w:rsidRPr="006042E8" w:rsidRDefault="004B0BF3" w:rsidP="006042E8">
      <w:pPr>
        <w:jc w:val="both"/>
        <w:rPr>
          <w:rFonts w:ascii="Times New Roman" w:hAnsi="Times New Roman" w:cs="Times New Roman"/>
          <w:sz w:val="24"/>
          <w:szCs w:val="24"/>
        </w:rPr>
      </w:pPr>
    </w:p>
    <w:sectPr w:rsidR="004B0BF3" w:rsidRPr="006042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64D6F"/>
    <w:multiLevelType w:val="hybridMultilevel"/>
    <w:tmpl w:val="62B095F6"/>
    <w:lvl w:ilvl="0" w:tplc="80DA95D2">
      <w:start w:val="1"/>
      <w:numFmt w:val="lowerLetter"/>
      <w:lvlText w:val="%1)"/>
      <w:lvlJc w:val="left"/>
      <w:pPr>
        <w:ind w:left="624" w:hanging="360"/>
      </w:pPr>
      <w:rPr>
        <w:rFonts w:hint="default"/>
        <w:b w:val="0"/>
      </w:rPr>
    </w:lvl>
    <w:lvl w:ilvl="1" w:tplc="2C0A0019" w:tentative="1">
      <w:start w:val="1"/>
      <w:numFmt w:val="lowerLetter"/>
      <w:lvlText w:val="%2."/>
      <w:lvlJc w:val="left"/>
      <w:pPr>
        <w:ind w:left="1344" w:hanging="360"/>
      </w:pPr>
    </w:lvl>
    <w:lvl w:ilvl="2" w:tplc="2C0A001B" w:tentative="1">
      <w:start w:val="1"/>
      <w:numFmt w:val="lowerRoman"/>
      <w:lvlText w:val="%3."/>
      <w:lvlJc w:val="right"/>
      <w:pPr>
        <w:ind w:left="2064" w:hanging="180"/>
      </w:pPr>
    </w:lvl>
    <w:lvl w:ilvl="3" w:tplc="2C0A000F" w:tentative="1">
      <w:start w:val="1"/>
      <w:numFmt w:val="decimal"/>
      <w:lvlText w:val="%4."/>
      <w:lvlJc w:val="left"/>
      <w:pPr>
        <w:ind w:left="2784" w:hanging="360"/>
      </w:pPr>
    </w:lvl>
    <w:lvl w:ilvl="4" w:tplc="2C0A0019" w:tentative="1">
      <w:start w:val="1"/>
      <w:numFmt w:val="lowerLetter"/>
      <w:lvlText w:val="%5."/>
      <w:lvlJc w:val="left"/>
      <w:pPr>
        <w:ind w:left="3504" w:hanging="360"/>
      </w:pPr>
    </w:lvl>
    <w:lvl w:ilvl="5" w:tplc="2C0A001B" w:tentative="1">
      <w:start w:val="1"/>
      <w:numFmt w:val="lowerRoman"/>
      <w:lvlText w:val="%6."/>
      <w:lvlJc w:val="right"/>
      <w:pPr>
        <w:ind w:left="4224" w:hanging="180"/>
      </w:pPr>
    </w:lvl>
    <w:lvl w:ilvl="6" w:tplc="2C0A000F" w:tentative="1">
      <w:start w:val="1"/>
      <w:numFmt w:val="decimal"/>
      <w:lvlText w:val="%7."/>
      <w:lvlJc w:val="left"/>
      <w:pPr>
        <w:ind w:left="4944" w:hanging="360"/>
      </w:pPr>
    </w:lvl>
    <w:lvl w:ilvl="7" w:tplc="2C0A0019" w:tentative="1">
      <w:start w:val="1"/>
      <w:numFmt w:val="lowerLetter"/>
      <w:lvlText w:val="%8."/>
      <w:lvlJc w:val="left"/>
      <w:pPr>
        <w:ind w:left="5664" w:hanging="360"/>
      </w:pPr>
    </w:lvl>
    <w:lvl w:ilvl="8" w:tplc="2C0A001B" w:tentative="1">
      <w:start w:val="1"/>
      <w:numFmt w:val="lowerRoman"/>
      <w:lvlText w:val="%9."/>
      <w:lvlJc w:val="right"/>
      <w:pPr>
        <w:ind w:left="6384" w:hanging="180"/>
      </w:pPr>
    </w:lvl>
  </w:abstractNum>
  <w:abstractNum w:abstractNumId="1" w15:restartNumberingAfterBreak="0">
    <w:nsid w:val="456C0BE4"/>
    <w:multiLevelType w:val="hybridMultilevel"/>
    <w:tmpl w:val="EC2635CC"/>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0BC7E5B"/>
    <w:multiLevelType w:val="hybridMultilevel"/>
    <w:tmpl w:val="6B02CC66"/>
    <w:lvl w:ilvl="0" w:tplc="2C0A0001">
      <w:start w:val="1"/>
      <w:numFmt w:val="bullet"/>
      <w:lvlText w:val=""/>
      <w:lvlJc w:val="left"/>
      <w:pPr>
        <w:ind w:left="1500" w:hanging="360"/>
      </w:pPr>
      <w:rPr>
        <w:rFonts w:ascii="Symbol" w:hAnsi="Symbol" w:hint="default"/>
      </w:rPr>
    </w:lvl>
    <w:lvl w:ilvl="1" w:tplc="2C0A0003" w:tentative="1">
      <w:start w:val="1"/>
      <w:numFmt w:val="bullet"/>
      <w:lvlText w:val="o"/>
      <w:lvlJc w:val="left"/>
      <w:pPr>
        <w:ind w:left="2220" w:hanging="360"/>
      </w:pPr>
      <w:rPr>
        <w:rFonts w:ascii="Courier New" w:hAnsi="Courier New" w:cs="Courier New" w:hint="default"/>
      </w:rPr>
    </w:lvl>
    <w:lvl w:ilvl="2" w:tplc="2C0A0005" w:tentative="1">
      <w:start w:val="1"/>
      <w:numFmt w:val="bullet"/>
      <w:lvlText w:val=""/>
      <w:lvlJc w:val="left"/>
      <w:pPr>
        <w:ind w:left="2940" w:hanging="360"/>
      </w:pPr>
      <w:rPr>
        <w:rFonts w:ascii="Wingdings" w:hAnsi="Wingdings" w:hint="default"/>
      </w:rPr>
    </w:lvl>
    <w:lvl w:ilvl="3" w:tplc="2C0A0001" w:tentative="1">
      <w:start w:val="1"/>
      <w:numFmt w:val="bullet"/>
      <w:lvlText w:val=""/>
      <w:lvlJc w:val="left"/>
      <w:pPr>
        <w:ind w:left="3660" w:hanging="360"/>
      </w:pPr>
      <w:rPr>
        <w:rFonts w:ascii="Symbol" w:hAnsi="Symbol" w:hint="default"/>
      </w:rPr>
    </w:lvl>
    <w:lvl w:ilvl="4" w:tplc="2C0A0003" w:tentative="1">
      <w:start w:val="1"/>
      <w:numFmt w:val="bullet"/>
      <w:lvlText w:val="o"/>
      <w:lvlJc w:val="left"/>
      <w:pPr>
        <w:ind w:left="4380" w:hanging="360"/>
      </w:pPr>
      <w:rPr>
        <w:rFonts w:ascii="Courier New" w:hAnsi="Courier New" w:cs="Courier New" w:hint="default"/>
      </w:rPr>
    </w:lvl>
    <w:lvl w:ilvl="5" w:tplc="2C0A0005" w:tentative="1">
      <w:start w:val="1"/>
      <w:numFmt w:val="bullet"/>
      <w:lvlText w:val=""/>
      <w:lvlJc w:val="left"/>
      <w:pPr>
        <w:ind w:left="5100" w:hanging="360"/>
      </w:pPr>
      <w:rPr>
        <w:rFonts w:ascii="Wingdings" w:hAnsi="Wingdings" w:hint="default"/>
      </w:rPr>
    </w:lvl>
    <w:lvl w:ilvl="6" w:tplc="2C0A0001" w:tentative="1">
      <w:start w:val="1"/>
      <w:numFmt w:val="bullet"/>
      <w:lvlText w:val=""/>
      <w:lvlJc w:val="left"/>
      <w:pPr>
        <w:ind w:left="5820" w:hanging="360"/>
      </w:pPr>
      <w:rPr>
        <w:rFonts w:ascii="Symbol" w:hAnsi="Symbol" w:hint="default"/>
      </w:rPr>
    </w:lvl>
    <w:lvl w:ilvl="7" w:tplc="2C0A0003" w:tentative="1">
      <w:start w:val="1"/>
      <w:numFmt w:val="bullet"/>
      <w:lvlText w:val="o"/>
      <w:lvlJc w:val="left"/>
      <w:pPr>
        <w:ind w:left="6540" w:hanging="360"/>
      </w:pPr>
      <w:rPr>
        <w:rFonts w:ascii="Courier New" w:hAnsi="Courier New" w:cs="Courier New" w:hint="default"/>
      </w:rPr>
    </w:lvl>
    <w:lvl w:ilvl="8" w:tplc="2C0A0005" w:tentative="1">
      <w:start w:val="1"/>
      <w:numFmt w:val="bullet"/>
      <w:lvlText w:val=""/>
      <w:lvlJc w:val="left"/>
      <w:pPr>
        <w:ind w:left="7260" w:hanging="360"/>
      </w:pPr>
      <w:rPr>
        <w:rFonts w:ascii="Wingdings" w:hAnsi="Wingdings" w:hint="default"/>
      </w:rPr>
    </w:lvl>
  </w:abstractNum>
  <w:abstractNum w:abstractNumId="3" w15:restartNumberingAfterBreak="0">
    <w:nsid w:val="57DA179C"/>
    <w:multiLevelType w:val="hybridMultilevel"/>
    <w:tmpl w:val="D5EA2F50"/>
    <w:lvl w:ilvl="0" w:tplc="9A70486E">
      <w:start w:val="1"/>
      <w:numFmt w:val="decimal"/>
      <w:lvlText w:val="%1."/>
      <w:lvlJc w:val="left"/>
      <w:pPr>
        <w:ind w:left="786" w:hanging="360"/>
      </w:pPr>
      <w:rPr>
        <w:rFonts w:hint="default"/>
        <w:b/>
        <w:u w:val="none"/>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4" w15:restartNumberingAfterBreak="0">
    <w:nsid w:val="58E503AE"/>
    <w:multiLevelType w:val="multilevel"/>
    <w:tmpl w:val="CBE83C2C"/>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3D12B6"/>
    <w:multiLevelType w:val="hybridMultilevel"/>
    <w:tmpl w:val="EA22D080"/>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BF3"/>
    <w:rsid w:val="00036561"/>
    <w:rsid w:val="00047313"/>
    <w:rsid w:val="000615A4"/>
    <w:rsid w:val="000825CC"/>
    <w:rsid w:val="00172972"/>
    <w:rsid w:val="00351976"/>
    <w:rsid w:val="003A255C"/>
    <w:rsid w:val="003A47D3"/>
    <w:rsid w:val="003B39CB"/>
    <w:rsid w:val="004B0BF3"/>
    <w:rsid w:val="0057576A"/>
    <w:rsid w:val="006042E8"/>
    <w:rsid w:val="00671F10"/>
    <w:rsid w:val="007262C0"/>
    <w:rsid w:val="007F53ED"/>
    <w:rsid w:val="008B64AF"/>
    <w:rsid w:val="00927293"/>
    <w:rsid w:val="009434AD"/>
    <w:rsid w:val="00A25A5E"/>
    <w:rsid w:val="00A7145E"/>
    <w:rsid w:val="00A757B2"/>
    <w:rsid w:val="00AA706C"/>
    <w:rsid w:val="00AD2FFE"/>
    <w:rsid w:val="00C70FF5"/>
    <w:rsid w:val="00E21007"/>
    <w:rsid w:val="00E67E77"/>
    <w:rsid w:val="00F06985"/>
    <w:rsid w:val="00F321F4"/>
    <w:rsid w:val="00F74057"/>
    <w:rsid w:val="00F97DD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6F4CF-49B6-4287-98DD-24967ABE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42E8"/>
    <w:pPr>
      <w:ind w:left="720"/>
      <w:contextualSpacing/>
    </w:pPr>
    <w:rPr>
      <w:rFonts w:ascii="Arial" w:eastAsia="Calibri" w:hAnsi="Arial" w:cs="Arial"/>
      <w:sz w:val="24"/>
      <w:szCs w:val="24"/>
      <w:lang w:eastAsia="es-AR"/>
    </w:rPr>
  </w:style>
  <w:style w:type="paragraph" w:styleId="Sinespaciado">
    <w:name w:val="No Spacing"/>
    <w:uiPriority w:val="1"/>
    <w:qFormat/>
    <w:rsid w:val="00F321F4"/>
    <w:pPr>
      <w:spacing w:after="0" w:line="240" w:lineRule="auto"/>
    </w:pPr>
    <w:rPr>
      <w:rFonts w:ascii="Arial" w:eastAsia="Calibri" w:hAnsi="Arial" w:cs="Arial"/>
      <w:sz w:val="24"/>
      <w:szCs w:val="24"/>
      <w:lang w:eastAsia="es-AR"/>
    </w:rPr>
  </w:style>
  <w:style w:type="table" w:styleId="Tablaconcuadrcula">
    <w:name w:val="Table Grid"/>
    <w:basedOn w:val="Tablanormal"/>
    <w:uiPriority w:val="39"/>
    <w:rsid w:val="00351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7184">
      <w:bodyDiv w:val="1"/>
      <w:marLeft w:val="0"/>
      <w:marRight w:val="0"/>
      <w:marTop w:val="0"/>
      <w:marBottom w:val="0"/>
      <w:divBdr>
        <w:top w:val="none" w:sz="0" w:space="0" w:color="auto"/>
        <w:left w:val="none" w:sz="0" w:space="0" w:color="auto"/>
        <w:bottom w:val="none" w:sz="0" w:space="0" w:color="auto"/>
        <w:right w:val="none" w:sz="0" w:space="0" w:color="auto"/>
      </w:divBdr>
    </w:div>
    <w:div w:id="141654258">
      <w:bodyDiv w:val="1"/>
      <w:marLeft w:val="0"/>
      <w:marRight w:val="0"/>
      <w:marTop w:val="0"/>
      <w:marBottom w:val="0"/>
      <w:divBdr>
        <w:top w:val="none" w:sz="0" w:space="0" w:color="auto"/>
        <w:left w:val="none" w:sz="0" w:space="0" w:color="auto"/>
        <w:bottom w:val="none" w:sz="0" w:space="0" w:color="auto"/>
        <w:right w:val="none" w:sz="0" w:space="0" w:color="auto"/>
      </w:divBdr>
    </w:div>
    <w:div w:id="211231458">
      <w:bodyDiv w:val="1"/>
      <w:marLeft w:val="0"/>
      <w:marRight w:val="0"/>
      <w:marTop w:val="0"/>
      <w:marBottom w:val="0"/>
      <w:divBdr>
        <w:top w:val="none" w:sz="0" w:space="0" w:color="auto"/>
        <w:left w:val="none" w:sz="0" w:space="0" w:color="auto"/>
        <w:bottom w:val="none" w:sz="0" w:space="0" w:color="auto"/>
        <w:right w:val="none" w:sz="0" w:space="0" w:color="auto"/>
      </w:divBdr>
    </w:div>
    <w:div w:id="812285871">
      <w:bodyDiv w:val="1"/>
      <w:marLeft w:val="0"/>
      <w:marRight w:val="0"/>
      <w:marTop w:val="0"/>
      <w:marBottom w:val="0"/>
      <w:divBdr>
        <w:top w:val="none" w:sz="0" w:space="0" w:color="auto"/>
        <w:left w:val="none" w:sz="0" w:space="0" w:color="auto"/>
        <w:bottom w:val="none" w:sz="0" w:space="0" w:color="auto"/>
        <w:right w:val="none" w:sz="0" w:space="0" w:color="auto"/>
      </w:divBdr>
    </w:div>
    <w:div w:id="204717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1276</Words>
  <Characters>7022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Roberto Cabaña</cp:lastModifiedBy>
  <cp:revision>2</cp:revision>
  <dcterms:created xsi:type="dcterms:W3CDTF">2025-07-04T15:03:00Z</dcterms:created>
  <dcterms:modified xsi:type="dcterms:W3CDTF">2025-07-04T15:03:00Z</dcterms:modified>
</cp:coreProperties>
</file>