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G-59:COMUNICACIÓN DE INCORPORACIÓN DE REPRESENTANTE TÉCNICO</w:t>
      </w:r>
    </w:p>
    <w:p w:rsidR="00000000" w:rsidDel="00000000" w:rsidP="00000000" w:rsidRDefault="00000000" w:rsidRPr="00000000" w14:paraId="00000003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(Artículo 44º)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del RACOP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            /             D.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Empresa..............................................................................., inscripta bajo el Número R-.......................... , se dirige a Usted en cumplimiento de lo dispuesto en el Artículo 44º del Reglamento aprobado por Decreto Nº 1003/21, a fin de comunicar al Registro a su cargo que ha incorporado como Representante Técnico al profesional Sr. ................................................................, Título ............................................., Matrícula Nº ................ del CPIGM / CAM (1), siendo su relación con la Empresa la de: Propietario / Integrante de la Sociedad / En relación de dependencia / Contratado (1).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adjunta: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1º) Copia de inscripción en el CPIGM/ CAM (1) y constancia de pago del año en curso.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2º) En caso de profesional en relación de dependencia, nota de la Empresa que certifica la misma, incluyendo firma del profesional prestando conformidad.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de profesional contratado, copia del contrato que lo vincula con la Empresa, y de corresponder, de acuerdo a la constitución social de la Empresa, copia certificada del Acta de Directorio o Resolución de la Sociedad donde se le asignan las funciones y atribuciones de representante técnico.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3º) Currículum Vitae.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(1) Omitir o tachar lo que no corresponda.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28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..............................................   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(Firma autorizada)</w:t>
      </w:r>
    </w:p>
    <w:p w:rsidR="00000000" w:rsidDel="00000000" w:rsidP="00000000" w:rsidRDefault="00000000" w:rsidRPr="00000000" w14:paraId="0000001C">
      <w:pPr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considerará  como  fecha la de recepción en Mesa de Entradas del RACOP.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B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C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F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3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Comunicación de Incorporación de Representante Técnico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RN-G-59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OntwgiBQltw9nSZhCAJqVFuzw==">CgMxLjA4AHIhMXRCaDJmZ21GNmVpZTB2MENRbVVDdHhPa3V5OW55QUMw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