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8D43AB" w:rsidRDefault="00A6670E" w:rsidP="008D43AB">
          <w:pPr>
            <w:pStyle w:val="Ttulo1"/>
            <w:ind w:left="0" w:firstLine="0"/>
            <w:rPr>
              <w:lang w:val="es-ES"/>
            </w:rPr>
          </w:pPr>
          <w:r>
            <w:rPr>
              <w:lang w:val="es-ES"/>
            </w:rPr>
            <w:t xml:space="preserve">BIBLIOGRAFÍA </w:t>
          </w:r>
          <w:r w:rsidR="008D43AB">
            <w:rPr>
              <w:lang w:val="es-ES"/>
            </w:rPr>
            <w:t>KINESIOLÓGICAS</w:t>
          </w:r>
        </w:p>
        <w:p w:rsidR="008D43AB" w:rsidRPr="008D43AB" w:rsidRDefault="008D43AB" w:rsidP="008D43AB">
          <w:pPr>
            <w:pStyle w:val="Prrafodelista"/>
            <w:numPr>
              <w:ilvl w:val="0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Leyes:</w:t>
          </w:r>
          <w:bookmarkStart w:id="0" w:name="_GoBack"/>
          <w:bookmarkEnd w:id="0"/>
        </w:p>
        <w:p w:rsidR="008D43AB" w:rsidRPr="008D43AB" w:rsidRDefault="008D43AB" w:rsidP="008D43AB">
          <w:pPr>
            <w:pStyle w:val="Prrafodelista"/>
            <w:numPr>
              <w:ilvl w:val="1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Ley de residencias 7857</w:t>
          </w:r>
        </w:p>
        <w:p w:rsidR="008D43AB" w:rsidRPr="008D43AB" w:rsidRDefault="008D43AB" w:rsidP="008D43AB">
          <w:pPr>
            <w:pStyle w:val="Prrafodelista"/>
            <w:numPr>
              <w:ilvl w:val="1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Ley de Colegiación 7772</w:t>
          </w:r>
        </w:p>
        <w:p w:rsidR="008D43AB" w:rsidRPr="008D43AB" w:rsidRDefault="008D43AB" w:rsidP="008D43AB">
          <w:pPr>
            <w:pStyle w:val="Prrafodelista"/>
            <w:numPr>
              <w:ilvl w:val="1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Ley del ejercicio de la kinesiología 5040</w:t>
          </w:r>
        </w:p>
        <w:p w:rsidR="008D43AB" w:rsidRPr="008D43AB" w:rsidRDefault="008D43AB" w:rsidP="008D43AB">
          <w:pPr>
            <w:pStyle w:val="Prrafodelista"/>
            <w:numPr>
              <w:ilvl w:val="1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Ley de derechos del paciente 26.529 y sus modificatorias (26.742 y 26.812)</w:t>
          </w:r>
        </w:p>
        <w:p w:rsidR="008D43AB" w:rsidRPr="008D43AB" w:rsidRDefault="008D43AB" w:rsidP="008D43AB">
          <w:pPr>
            <w:shd w:val="clear" w:color="auto" w:fill="FFFFFF"/>
            <w:spacing w:line="240" w:lineRule="auto"/>
            <w:ind w:firstLine="60"/>
            <w:jc w:val="both"/>
            <w:rPr>
              <w:rFonts w:eastAsia="Times New Roman"/>
              <w:color w:val="222222"/>
              <w:sz w:val="20"/>
              <w:szCs w:val="20"/>
              <w:lang w:eastAsia="es-AR"/>
            </w:rPr>
          </w:pPr>
        </w:p>
        <w:p w:rsidR="008D43AB" w:rsidRPr="008D43AB" w:rsidRDefault="008D43AB" w:rsidP="008D43AB">
          <w:pPr>
            <w:pStyle w:val="Prrafodelista"/>
            <w:numPr>
              <w:ilvl w:val="0"/>
              <w:numId w:val="1"/>
            </w:num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Libros:</w:t>
          </w:r>
        </w:p>
        <w:p w:rsidR="008D43AB" w:rsidRPr="008D43AB" w:rsidRDefault="008D43AB" w:rsidP="008D43AB">
          <w:pPr>
            <w:shd w:val="clear" w:color="auto" w:fill="FFFFFF"/>
            <w:spacing w:line="240" w:lineRule="auto"/>
            <w:ind w:firstLine="60"/>
            <w:jc w:val="both"/>
            <w:rPr>
              <w:rFonts w:eastAsia="Times New Roman"/>
              <w:color w:val="222222"/>
              <w:sz w:val="20"/>
              <w:szCs w:val="20"/>
              <w:lang w:eastAsia="es-AR"/>
            </w:rPr>
          </w:pPr>
        </w:p>
        <w:p w:rsidR="008D43AB" w:rsidRPr="008D43AB" w:rsidRDefault="008D43AB" w:rsidP="008D43AB">
          <w:pPr>
            <w:pStyle w:val="Prrafodelista"/>
            <w:numPr>
              <w:ilvl w:val="0"/>
              <w:numId w:val="2"/>
            </w:numPr>
            <w:shd w:val="clear" w:color="auto" w:fill="FFFFFF"/>
            <w:spacing w:after="0" w:line="240" w:lineRule="auto"/>
            <w:ind w:left="1068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val="en-US" w:eastAsia="es-AR"/>
            </w:rPr>
            <w:t xml:space="preserve">Moore L. - Arthur F. Dalley II. </w:t>
          </w:r>
          <w:r w:rsidRPr="008D43AB">
            <w:rPr>
              <w:rFonts w:ascii="Times New Roman" w:eastAsia="Times New Roman" w:hAnsi="Times New Roman" w:cs="Times New Roman"/>
              <w:i/>
              <w:color w:val="222222"/>
              <w:sz w:val="20"/>
              <w:szCs w:val="20"/>
              <w:lang w:eastAsia="es-AR"/>
            </w:rPr>
            <w:t>Anatomía con orientación clínica</w:t>
          </w: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. Editorial Panamericana. 4ta edición 2006 y 5ta edición 2007.</w:t>
          </w:r>
        </w:p>
        <w:p w:rsidR="008D43AB" w:rsidRPr="008D43AB" w:rsidRDefault="008D43AB" w:rsidP="008D43AB">
          <w:pPr>
            <w:pStyle w:val="Prrafodelista"/>
            <w:numPr>
              <w:ilvl w:val="0"/>
              <w:numId w:val="2"/>
            </w:numPr>
            <w:shd w:val="clear" w:color="auto" w:fill="FFFFFF"/>
            <w:spacing w:after="0" w:line="240" w:lineRule="auto"/>
            <w:ind w:left="1068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 xml:space="preserve">Cano de la Cuerda, R y Collado Vázquez, S. </w:t>
          </w:r>
          <w:r w:rsidRPr="008D43AB">
            <w:rPr>
              <w:rFonts w:ascii="Times New Roman" w:eastAsia="Times New Roman" w:hAnsi="Times New Roman" w:cs="Times New Roman"/>
              <w:i/>
              <w:color w:val="222222"/>
              <w:sz w:val="20"/>
              <w:szCs w:val="20"/>
              <w:lang w:eastAsia="es-AR"/>
            </w:rPr>
            <w:t>Neurorrehabilitación. Métodos específicos de valoración y tratamiento.</w:t>
          </w: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 xml:space="preserve"> Editorial Panamericana. Edición 2012.</w:t>
          </w:r>
        </w:p>
        <w:p w:rsidR="008D43AB" w:rsidRPr="008D43AB" w:rsidRDefault="008D43AB" w:rsidP="008D43AB">
          <w:pPr>
            <w:pStyle w:val="Prrafodelista"/>
            <w:numPr>
              <w:ilvl w:val="0"/>
              <w:numId w:val="2"/>
            </w:numPr>
            <w:shd w:val="clear" w:color="auto" w:fill="FFFFFF"/>
            <w:spacing w:after="0" w:line="240" w:lineRule="auto"/>
            <w:ind w:left="1068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 xml:space="preserve">Cristancho Gómez, W. </w:t>
          </w:r>
          <w:r w:rsidRPr="008D43AB">
            <w:rPr>
              <w:rFonts w:ascii="Times New Roman" w:eastAsia="Times New Roman" w:hAnsi="Times New Roman" w:cs="Times New Roman"/>
              <w:i/>
              <w:color w:val="222222"/>
              <w:sz w:val="20"/>
              <w:szCs w:val="20"/>
              <w:lang w:eastAsia="es-AR"/>
            </w:rPr>
            <w:t xml:space="preserve">Fisiología Respiratoria. Lo esencial en la práctica clínica. </w:t>
          </w: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Editorial Manual Moderno. Edición 2007 yEdición 2012.</w:t>
          </w:r>
        </w:p>
        <w:p w:rsidR="008D43AB" w:rsidRPr="008D43AB" w:rsidRDefault="008D43AB" w:rsidP="008D43AB">
          <w:pPr>
            <w:pStyle w:val="Prrafodelista"/>
            <w:numPr>
              <w:ilvl w:val="0"/>
              <w:numId w:val="2"/>
            </w:numPr>
            <w:shd w:val="clear" w:color="auto" w:fill="FFFFFF"/>
            <w:spacing w:after="0" w:line="240" w:lineRule="auto"/>
            <w:ind w:left="1068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Silberman - Varaona.</w:t>
          </w:r>
          <w:r w:rsidRPr="008D43AB">
            <w:rPr>
              <w:rFonts w:ascii="Times New Roman" w:eastAsia="Times New Roman" w:hAnsi="Times New Roman" w:cs="Times New Roman"/>
              <w:i/>
              <w:color w:val="222222"/>
              <w:sz w:val="20"/>
              <w:szCs w:val="20"/>
              <w:lang w:eastAsia="es-AR"/>
            </w:rPr>
            <w:t>Ortopedia y traumatología</w:t>
          </w: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. Editorial Panamericana. 2da edición 2004.</w:t>
          </w:r>
        </w:p>
        <w:p w:rsidR="008D43AB" w:rsidRPr="008D43AB" w:rsidRDefault="008D43AB" w:rsidP="008D43AB">
          <w:pPr>
            <w:pStyle w:val="Prrafodelista"/>
            <w:numPr>
              <w:ilvl w:val="0"/>
              <w:numId w:val="2"/>
            </w:numPr>
            <w:shd w:val="clear" w:color="auto" w:fill="FFFFFF"/>
            <w:spacing w:after="0" w:line="240" w:lineRule="auto"/>
            <w:ind w:left="1068"/>
            <w:jc w:val="both"/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</w:pP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Macias merlo y Fagoaga Mata.</w:t>
          </w:r>
          <w:r w:rsidRPr="008D43AB">
            <w:rPr>
              <w:rFonts w:ascii="Times New Roman" w:eastAsia="Times New Roman" w:hAnsi="Times New Roman" w:cs="Times New Roman"/>
              <w:i/>
              <w:color w:val="222222"/>
              <w:sz w:val="20"/>
              <w:szCs w:val="20"/>
              <w:lang w:eastAsia="es-AR"/>
            </w:rPr>
            <w:t>Fisioterapia en pediatría</w:t>
          </w:r>
          <w:r w:rsidRPr="008D43AB">
            <w:rPr>
              <w:rFonts w:ascii="Times New Roman" w:eastAsia="Times New Roman" w:hAnsi="Times New Roman" w:cs="Times New Roman"/>
              <w:color w:val="222222"/>
              <w:sz w:val="20"/>
              <w:szCs w:val="20"/>
              <w:lang w:eastAsia="es-AR"/>
            </w:rPr>
            <w:t>. Editorial Mc Graw Hill interamericana. Edición 2012.</w:t>
          </w:r>
        </w:p>
        <w:p w:rsidR="008D43AB" w:rsidRPr="008D43AB" w:rsidRDefault="008D43AB" w:rsidP="008D43AB">
          <w:pPr>
            <w:shd w:val="clear" w:color="auto" w:fill="FFFFFF"/>
            <w:spacing w:line="240" w:lineRule="auto"/>
            <w:ind w:left="708"/>
            <w:jc w:val="both"/>
            <w:rPr>
              <w:rFonts w:eastAsia="Times New Roman"/>
              <w:color w:val="222222"/>
              <w:sz w:val="20"/>
              <w:szCs w:val="20"/>
              <w:lang w:eastAsia="es-AR"/>
            </w:rPr>
          </w:pPr>
        </w:p>
        <w:p w:rsidR="008D43AB" w:rsidRPr="008D43AB" w:rsidRDefault="008D43AB" w:rsidP="008D43AB">
          <w:pPr>
            <w:rPr>
              <w:sz w:val="20"/>
              <w:szCs w:val="20"/>
              <w:lang w:val="es-ES" w:eastAsia="es-ES"/>
            </w:rPr>
          </w:pPr>
        </w:p>
        <w:p w:rsidR="00906DF4" w:rsidRPr="00A6670E" w:rsidRDefault="00D35B76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8"/>
      <w:footerReference w:type="default" r:id="rId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79" w:rsidRDefault="00553679" w:rsidP="00906DF4">
      <w:pPr>
        <w:spacing w:line="240" w:lineRule="auto"/>
      </w:pPr>
      <w:r>
        <w:separator/>
      </w:r>
    </w:p>
  </w:endnote>
  <w:endnote w:type="continuationSeparator" w:id="1">
    <w:p w:rsidR="00553679" w:rsidRDefault="00553679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8D43AB" w:rsidRPr="008D43AB">
      <w:rPr>
        <w:rFonts w:ascii="Arial" w:hAnsi="Arial" w:cs="Arial"/>
        <w:noProof/>
        <w:sz w:val="18"/>
        <w:szCs w:val="24"/>
        <w:lang w:val="es-ES"/>
      </w:rPr>
      <w:t>1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8D43AB" w:rsidRPr="008D43AB">
        <w:rPr>
          <w:rFonts w:ascii="Arial" w:hAnsi="Arial" w:cs="Arial"/>
          <w:noProof/>
          <w:sz w:val="18"/>
          <w:szCs w:val="24"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79" w:rsidRDefault="00553679" w:rsidP="00906DF4">
      <w:pPr>
        <w:spacing w:line="240" w:lineRule="auto"/>
      </w:pPr>
      <w:r>
        <w:separator/>
      </w:r>
    </w:p>
  </w:footnote>
  <w:footnote w:type="continuationSeparator" w:id="1">
    <w:p w:rsidR="00553679" w:rsidRDefault="00553679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553679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55367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553679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553679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553679"/>
    <w:rsid w:val="006570E7"/>
    <w:rsid w:val="006D097D"/>
    <w:rsid w:val="007B3681"/>
    <w:rsid w:val="00822A05"/>
    <w:rsid w:val="00847806"/>
    <w:rsid w:val="008D43AB"/>
    <w:rsid w:val="00906DF4"/>
    <w:rsid w:val="009657EC"/>
    <w:rsid w:val="00A6670E"/>
    <w:rsid w:val="00B8692D"/>
    <w:rsid w:val="00BA1151"/>
    <w:rsid w:val="00CD23EF"/>
    <w:rsid w:val="00D12C96"/>
    <w:rsid w:val="00D35B7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2022-07-06T12:16:00Z</dcterms:created>
  <dcterms:modified xsi:type="dcterms:W3CDTF">2022-07-06T12:16:00Z</dcterms:modified>
</cp:coreProperties>
</file>