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HAnsi"/>
          <w:b w:val="0"/>
          <w:sz w:val="24"/>
          <w:szCs w:val="22"/>
          <w:lang w:val="es-ES" w:eastAsia="en-US"/>
        </w:rPr>
        <w:id w:val="-294833840"/>
        <w:docPartObj>
          <w:docPartGallery w:val="Bibliographies"/>
          <w:docPartUnique/>
        </w:docPartObj>
      </w:sdtPr>
      <w:sdtEndPr>
        <w:rPr>
          <w:sz w:val="20"/>
          <w:szCs w:val="20"/>
          <w:lang w:val="es-AR"/>
        </w:rPr>
      </w:sdtEndPr>
      <w:sdtContent>
        <w:p w:rsidR="008D43AB" w:rsidRDefault="00A6670E" w:rsidP="008D43AB">
          <w:pPr>
            <w:pStyle w:val="Ttulo1"/>
            <w:ind w:left="0" w:firstLine="0"/>
            <w:rPr>
              <w:lang w:val="es-ES"/>
            </w:rPr>
          </w:pPr>
          <w:r>
            <w:rPr>
              <w:lang w:val="es-ES"/>
            </w:rPr>
            <w:t xml:space="preserve">BIBLIOGRAFÍA </w:t>
          </w:r>
          <w:r w:rsidR="00D43AB3">
            <w:rPr>
              <w:lang w:val="es-ES"/>
            </w:rPr>
            <w:t>MEDICINA DE FAMILIA</w:t>
          </w:r>
        </w:p>
        <w:p w:rsidR="008D43AB" w:rsidRPr="008D43AB" w:rsidRDefault="008D43AB" w:rsidP="008D43AB">
          <w:pPr>
            <w:shd w:val="clear" w:color="auto" w:fill="FFFFFF"/>
            <w:spacing w:line="240" w:lineRule="auto"/>
            <w:ind w:left="708"/>
            <w:jc w:val="both"/>
            <w:rPr>
              <w:rFonts w:eastAsia="Times New Roman"/>
              <w:color w:val="222222"/>
              <w:sz w:val="20"/>
              <w:szCs w:val="20"/>
              <w:lang w:eastAsia="es-AR"/>
            </w:rPr>
          </w:pPr>
        </w:p>
        <w:p w:rsidR="00D43AB3" w:rsidRPr="00D43AB3" w:rsidRDefault="00D43AB3" w:rsidP="00D43AB3">
          <w:pPr>
            <w:tabs>
              <w:tab w:val="left" w:pos="284"/>
            </w:tabs>
            <w:rPr>
              <w:rFonts w:eastAsia="Arial"/>
              <w:sz w:val="20"/>
              <w:szCs w:val="20"/>
            </w:rPr>
          </w:pPr>
          <w:hyperlink r:id="rId8">
            <w:r w:rsidRPr="00D43AB3">
              <w:rPr>
                <w:rFonts w:eastAsia="Arial"/>
                <w:color w:val="1155CC"/>
                <w:sz w:val="20"/>
                <w:szCs w:val="20"/>
                <w:u w:val="single"/>
              </w:rPr>
              <w:t>https://www.uspreventiveservicestaskforce.org/uspstf/</w:t>
            </w:r>
          </w:hyperlink>
        </w:p>
        <w:p w:rsidR="00D43AB3" w:rsidRPr="00D43AB3" w:rsidRDefault="00D43AB3" w:rsidP="00D43AB3">
          <w:pPr>
            <w:tabs>
              <w:tab w:val="left" w:pos="284"/>
            </w:tabs>
            <w:rPr>
              <w:rFonts w:eastAsia="Arial"/>
              <w:sz w:val="20"/>
              <w:szCs w:val="20"/>
            </w:rPr>
          </w:pPr>
          <w:hyperlink r:id="rId9">
            <w:r w:rsidRPr="00D43AB3">
              <w:rPr>
                <w:rFonts w:eastAsia="Arial"/>
                <w:color w:val="1155CC"/>
                <w:sz w:val="20"/>
                <w:szCs w:val="20"/>
                <w:u w:val="single"/>
              </w:rPr>
              <w:t>https://apps.who.int/iris/bitstream/handle/10665/260156/9780999203705-eng.pdf?sequence=1</w:t>
            </w:r>
          </w:hyperlink>
        </w:p>
        <w:p w:rsidR="00D43AB3" w:rsidRPr="00D43AB3" w:rsidRDefault="00D43AB3" w:rsidP="00D43AB3">
          <w:pPr>
            <w:tabs>
              <w:tab w:val="left" w:pos="284"/>
            </w:tabs>
            <w:rPr>
              <w:rFonts w:eastAsia="Arial"/>
              <w:sz w:val="20"/>
              <w:szCs w:val="20"/>
            </w:rPr>
          </w:pPr>
          <w:hyperlink r:id="rId10">
            <w:r w:rsidRPr="00D43AB3">
              <w:rPr>
                <w:rFonts w:eastAsia="Arial"/>
                <w:color w:val="1155CC"/>
                <w:sz w:val="20"/>
                <w:szCs w:val="20"/>
                <w:u w:val="single"/>
              </w:rPr>
              <w:t>https://www.argentina.gob.ar/salud/calidadatencionmedica/guiaspracticaclinica</w:t>
            </w:r>
          </w:hyperlink>
        </w:p>
        <w:p w:rsidR="00D43AB3" w:rsidRPr="00D43AB3" w:rsidRDefault="00D43AB3" w:rsidP="00D43AB3">
          <w:pPr>
            <w:tabs>
              <w:tab w:val="left" w:pos="284"/>
            </w:tabs>
            <w:rPr>
              <w:rFonts w:eastAsia="Arial"/>
              <w:sz w:val="20"/>
              <w:szCs w:val="20"/>
            </w:rPr>
          </w:pPr>
          <w:hyperlink r:id="rId11">
            <w:r w:rsidRPr="00D43AB3">
              <w:rPr>
                <w:rFonts w:eastAsia="Arial"/>
                <w:color w:val="1155CC"/>
                <w:sz w:val="20"/>
                <w:szCs w:val="20"/>
                <w:u w:val="single"/>
              </w:rPr>
              <w:t>https://www.argentina.gob.ar/salud/calidadatencionmedica/prevencion-cuaternaria</w:t>
            </w:r>
          </w:hyperlink>
        </w:p>
        <w:p w:rsidR="00D43AB3" w:rsidRPr="00D43AB3" w:rsidRDefault="00D43AB3" w:rsidP="00D43AB3">
          <w:pPr>
            <w:tabs>
              <w:tab w:val="left" w:pos="284"/>
            </w:tabs>
            <w:rPr>
              <w:sz w:val="20"/>
              <w:szCs w:val="20"/>
            </w:rPr>
          </w:pPr>
          <w:hyperlink r:id="rId12">
            <w:r w:rsidRPr="00D43AB3">
              <w:rPr>
                <w:rFonts w:eastAsia="Arial"/>
                <w:color w:val="1155CC"/>
                <w:sz w:val="20"/>
                <w:szCs w:val="20"/>
                <w:u w:val="single"/>
              </w:rPr>
              <w:t>https://canadiantaskforce.ca/guidelines/published-guidelines/</w:t>
            </w:r>
          </w:hyperlink>
        </w:p>
        <w:p w:rsidR="00D43AB3" w:rsidRPr="00D43AB3" w:rsidRDefault="00D43AB3" w:rsidP="00D43AB3">
          <w:pPr>
            <w:tabs>
              <w:tab w:val="left" w:pos="284"/>
            </w:tabs>
            <w:rPr>
              <w:rFonts w:eastAsia="Arial"/>
              <w:sz w:val="20"/>
              <w:szCs w:val="20"/>
            </w:rPr>
          </w:pPr>
          <w:r w:rsidRPr="00D43AB3">
            <w:rPr>
              <w:sz w:val="20"/>
              <w:szCs w:val="20"/>
            </w:rPr>
            <w:t>Medicina Familiar y Práctica ambulatoria. Segunda y Tercera Edición</w:t>
          </w:r>
        </w:p>
        <w:p w:rsidR="008D43AB" w:rsidRPr="008D43AB" w:rsidRDefault="008D43AB" w:rsidP="008D43AB">
          <w:pPr>
            <w:rPr>
              <w:sz w:val="20"/>
              <w:szCs w:val="20"/>
              <w:lang w:val="es-ES" w:eastAsia="es-ES"/>
            </w:rPr>
          </w:pPr>
        </w:p>
        <w:p w:rsidR="00906DF4" w:rsidRPr="00A6670E" w:rsidRDefault="00D35B76" w:rsidP="00053D71">
          <w:pPr>
            <w:pStyle w:val="Bibliografa"/>
            <w:ind w:left="720" w:hanging="720"/>
            <w:jc w:val="both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sdtContent>
    </w:sdt>
    <w:p w:rsidR="00EA7646" w:rsidRPr="00A6670E" w:rsidRDefault="00EA7646">
      <w:pPr>
        <w:rPr>
          <w:sz w:val="20"/>
          <w:szCs w:val="20"/>
        </w:rPr>
      </w:pPr>
    </w:p>
    <w:sectPr w:rsidR="00EA7646" w:rsidRPr="00A6670E" w:rsidSect="004B51CD">
      <w:headerReference w:type="default" r:id="rId13"/>
      <w:footerReference w:type="default" r:id="rId14"/>
      <w:pgSz w:w="12240" w:h="20160" w:code="5"/>
      <w:pgMar w:top="1134" w:right="1418" w:bottom="1418" w:left="1418" w:header="709" w:footer="6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1D8" w:rsidRDefault="00B551D8" w:rsidP="00906DF4">
      <w:pPr>
        <w:spacing w:line="240" w:lineRule="auto"/>
      </w:pPr>
      <w:r>
        <w:separator/>
      </w:r>
    </w:p>
  </w:endnote>
  <w:endnote w:type="continuationSeparator" w:id="1">
    <w:p w:rsidR="00B551D8" w:rsidRDefault="00B551D8" w:rsidP="00906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AB7504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DEPARTAMENTO DE RESIDENCIAS – SUBDIRECCIÓN DE GESTIÓN DE RECURSOS HUMANOS</w:t>
    </w:r>
  </w:p>
  <w:p w:rsidR="00572F2D" w:rsidRDefault="00397550" w:rsidP="004B51CD">
    <w:pPr>
      <w:tabs>
        <w:tab w:val="center" w:pos="4550"/>
        <w:tab w:val="left" w:pos="5818"/>
      </w:tabs>
      <w:ind w:right="260"/>
      <w:rPr>
        <w:rFonts w:ascii="Arial" w:hAnsi="Arial" w:cs="Arial"/>
        <w:b/>
        <w:sz w:val="18"/>
        <w:szCs w:val="24"/>
      </w:rPr>
    </w:pPr>
    <w:r w:rsidRPr="00AB7504">
      <w:rPr>
        <w:rFonts w:ascii="Arial" w:hAnsi="Arial" w:cs="Arial"/>
        <w:b/>
        <w:sz w:val="18"/>
        <w:szCs w:val="24"/>
      </w:rPr>
      <w:t xml:space="preserve">                           DIRECCIÓN DE RECURSOS HUMANOS – GOBIERNO DE MENDOZA</w:t>
    </w:r>
  </w:p>
  <w:p w:rsidR="00572F2D" w:rsidRPr="00964706" w:rsidRDefault="00397550" w:rsidP="004B51CD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24"/>
      </w:rPr>
    </w:pPr>
    <w:r w:rsidRPr="00964706">
      <w:rPr>
        <w:rFonts w:ascii="Arial" w:hAnsi="Arial" w:cs="Arial"/>
        <w:spacing w:val="60"/>
        <w:sz w:val="18"/>
        <w:szCs w:val="24"/>
        <w:lang w:val="es-ES"/>
      </w:rPr>
      <w:t>Página</w:t>
    </w:r>
    <w:r w:rsidR="00D35B76" w:rsidRPr="00964706">
      <w:rPr>
        <w:rFonts w:ascii="Arial" w:hAnsi="Arial" w:cs="Arial"/>
        <w:sz w:val="18"/>
        <w:szCs w:val="24"/>
      </w:rPr>
      <w:fldChar w:fldCharType="begin"/>
    </w:r>
    <w:r w:rsidRPr="00964706">
      <w:rPr>
        <w:rFonts w:ascii="Arial" w:hAnsi="Arial" w:cs="Arial"/>
        <w:sz w:val="18"/>
        <w:szCs w:val="24"/>
      </w:rPr>
      <w:instrText>PAGE   \* MERGEFORMAT</w:instrText>
    </w:r>
    <w:r w:rsidR="00D35B76" w:rsidRPr="00964706">
      <w:rPr>
        <w:rFonts w:ascii="Arial" w:hAnsi="Arial" w:cs="Arial"/>
        <w:sz w:val="18"/>
        <w:szCs w:val="24"/>
      </w:rPr>
      <w:fldChar w:fldCharType="separate"/>
    </w:r>
    <w:r w:rsidR="00D43AB3" w:rsidRPr="00D43AB3">
      <w:rPr>
        <w:rFonts w:ascii="Arial" w:hAnsi="Arial" w:cs="Arial"/>
        <w:noProof/>
        <w:sz w:val="18"/>
        <w:szCs w:val="24"/>
        <w:lang w:val="es-ES"/>
      </w:rPr>
      <w:t>1</w:t>
    </w:r>
    <w:r w:rsidR="00D35B76" w:rsidRPr="00964706">
      <w:rPr>
        <w:rFonts w:ascii="Arial" w:hAnsi="Arial" w:cs="Arial"/>
        <w:sz w:val="18"/>
        <w:szCs w:val="24"/>
      </w:rPr>
      <w:fldChar w:fldCharType="end"/>
    </w:r>
    <w:r w:rsidRPr="00964706">
      <w:rPr>
        <w:rFonts w:ascii="Arial" w:hAnsi="Arial" w:cs="Arial"/>
        <w:sz w:val="18"/>
        <w:szCs w:val="24"/>
        <w:lang w:val="es-ES"/>
      </w:rPr>
      <w:t xml:space="preserve"> | </w:t>
    </w:r>
    <w:fldSimple w:instr="NUMPAGES  \* Arabic  \* MERGEFORMAT">
      <w:r w:rsidR="00D43AB3" w:rsidRPr="00D43AB3">
        <w:rPr>
          <w:rFonts w:ascii="Arial" w:hAnsi="Arial" w:cs="Arial"/>
          <w:noProof/>
          <w:sz w:val="18"/>
          <w:szCs w:val="24"/>
          <w:lang w:val="es-ES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1D8" w:rsidRDefault="00B551D8" w:rsidP="00906DF4">
      <w:pPr>
        <w:spacing w:line="240" w:lineRule="auto"/>
      </w:pPr>
      <w:r>
        <w:separator/>
      </w:r>
    </w:p>
  </w:footnote>
  <w:footnote w:type="continuationSeparator" w:id="1">
    <w:p w:rsidR="00B551D8" w:rsidRDefault="00B551D8" w:rsidP="00906D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D" w:rsidRPr="0006556C" w:rsidRDefault="00B551D8" w:rsidP="004B51CD">
    <w:pPr>
      <w:pStyle w:val="Encabezado"/>
      <w:jc w:val="both"/>
      <w:rPr>
        <w:sz w:val="2"/>
      </w:rPr>
    </w:pPr>
  </w:p>
  <w:p w:rsidR="00572F2D" w:rsidRDefault="00397550" w:rsidP="004B51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2895600" cy="552450"/>
          <wp:effectExtent l="0" t="0" r="0" b="0"/>
          <wp:docPr id="11" name="Imagen 11" descr="Descripción: D:\Mis documentos\Descargas\LogoMinistSalud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Descripción: D:\Mis documentos\Descargas\LogoMinistSalud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316" cy="562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2F2D" w:rsidRPr="00AB7504" w:rsidRDefault="00B551D8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B551D8" w:rsidP="004B51CD">
    <w:pPr>
      <w:pStyle w:val="Encabezado"/>
      <w:jc w:val="center"/>
      <w:rPr>
        <w:rFonts w:ascii="Arial" w:hAnsi="Arial" w:cs="Arial"/>
        <w:sz w:val="22"/>
      </w:rPr>
    </w:pPr>
  </w:p>
  <w:p w:rsidR="00572F2D" w:rsidRPr="00AB7504" w:rsidRDefault="00B551D8" w:rsidP="004B51CD">
    <w:pPr>
      <w:pStyle w:val="Encabezado"/>
      <w:jc w:val="center"/>
      <w:rPr>
        <w:rFonts w:ascii="Arial" w:hAnsi="Arial" w:cs="Arial"/>
        <w:sz w:val="12"/>
      </w:rPr>
    </w:pPr>
  </w:p>
  <w:p w:rsidR="00572F2D" w:rsidRPr="00AB7504" w:rsidRDefault="00397550" w:rsidP="00906DF4">
    <w:pPr>
      <w:pBdr>
        <w:bottom w:val="single" w:sz="4" w:space="1" w:color="auto"/>
      </w:pBdr>
      <w:jc w:val="center"/>
      <w:rPr>
        <w:rFonts w:ascii="Arial" w:hAnsi="Arial" w:cs="Arial"/>
      </w:rPr>
    </w:pPr>
    <w:r w:rsidRPr="00AB7504">
      <w:rPr>
        <w:rFonts w:ascii="Arial" w:hAnsi="Arial" w:cs="Arial"/>
      </w:rPr>
      <w:t>……………</w:t>
    </w:r>
    <w:r>
      <w:rPr>
        <w:rFonts w:ascii="Arial" w:hAnsi="Arial" w:cs="Arial"/>
      </w:rPr>
      <w:t>...</w:t>
    </w:r>
    <w:r w:rsidRPr="00AB7504">
      <w:rPr>
        <w:rFonts w:ascii="Arial" w:hAnsi="Arial" w:cs="Arial"/>
      </w:rPr>
      <w:t>……………………………….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FEC"/>
    <w:multiLevelType w:val="hybridMultilevel"/>
    <w:tmpl w:val="E3BE8432"/>
    <w:lvl w:ilvl="0" w:tplc="2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8482759"/>
    <w:multiLevelType w:val="hybridMultilevel"/>
    <w:tmpl w:val="848EB2D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06DF4"/>
    <w:rsid w:val="00053D71"/>
    <w:rsid w:val="000F478A"/>
    <w:rsid w:val="000F4DA8"/>
    <w:rsid w:val="00270C86"/>
    <w:rsid w:val="003909EF"/>
    <w:rsid w:val="00397550"/>
    <w:rsid w:val="004C3AC0"/>
    <w:rsid w:val="006570E7"/>
    <w:rsid w:val="006D097D"/>
    <w:rsid w:val="007B3681"/>
    <w:rsid w:val="00822A05"/>
    <w:rsid w:val="00847806"/>
    <w:rsid w:val="008D43AB"/>
    <w:rsid w:val="00906DF4"/>
    <w:rsid w:val="009657EC"/>
    <w:rsid w:val="00A6670E"/>
    <w:rsid w:val="00B551D8"/>
    <w:rsid w:val="00B8692D"/>
    <w:rsid w:val="00BA1151"/>
    <w:rsid w:val="00CD23EF"/>
    <w:rsid w:val="00D12C96"/>
    <w:rsid w:val="00D35B76"/>
    <w:rsid w:val="00D43AB3"/>
    <w:rsid w:val="00D6788F"/>
    <w:rsid w:val="00DC510A"/>
    <w:rsid w:val="00DD50E1"/>
    <w:rsid w:val="00EA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053D7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43A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F4"/>
    <w:pPr>
      <w:spacing w:after="0" w:line="360" w:lineRule="auto"/>
    </w:pPr>
    <w:rPr>
      <w:rFonts w:ascii="Times New Roman" w:hAnsi="Times New Roman" w:cs="Times New Roman"/>
      <w:sz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906DF4"/>
    <w:pPr>
      <w:keepNext/>
      <w:spacing w:after="60" w:line="240" w:lineRule="auto"/>
      <w:ind w:left="641" w:hanging="357"/>
      <w:jc w:val="both"/>
      <w:outlineLvl w:val="0"/>
    </w:pPr>
    <w:rPr>
      <w:rFonts w:eastAsia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6DF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DF4"/>
    <w:rPr>
      <w:rFonts w:ascii="Times New Roman" w:hAnsi="Times New Roman" w:cs="Times New Roman"/>
      <w:sz w:val="24"/>
      <w:lang w:eastAsia="en-US"/>
    </w:rPr>
  </w:style>
  <w:style w:type="paragraph" w:styleId="Bibliografa">
    <w:name w:val="Bibliography"/>
    <w:basedOn w:val="Normal"/>
    <w:next w:val="Normal"/>
    <w:uiPriority w:val="37"/>
    <w:unhideWhenUsed/>
    <w:rsid w:val="00906DF4"/>
  </w:style>
  <w:style w:type="paragraph" w:styleId="Textodeglobo">
    <w:name w:val="Balloon Text"/>
    <w:basedOn w:val="Normal"/>
    <w:link w:val="TextodegloboCar"/>
    <w:uiPriority w:val="99"/>
    <w:semiHidden/>
    <w:unhideWhenUsed/>
    <w:rsid w:val="00906D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DF4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06D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DF4"/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preventiveservicestaskforce.org/uspstf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nadiantaskforce.ca/guidelines/published-guidelines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gentina.gob.ar/salud/calidadatencionmedica/prevencion-cuaternar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gentina.gob.ar/salud/calidadatencionmedica/guiaspracticaclin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who.int/iris/bitstream/handle/10665/260156/9780999203705-eng.pdf?sequence=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Min15</b:Tag>
    <b:SourceType>InternetSite</b:SourceType>
    <b:Guid>{F14EDBE4-BA70-493A-9C85-C75D17B8CD8F}</b:Guid>
    <b:Author>
      <b:Author>
        <b:NameList>
          <b:Person>
            <b:Last>Salud</b:Last>
            <b:First>Ministerio</b:First>
            <b:Middle>de</b:Middle>
          </b:Person>
        </b:NameList>
      </b:Author>
    </b:Author>
    <b:Title>GUÍA TÉCNICA PARA CONTROL DE CALIDAD DE MEDICIONES CUANTITATIVAS EN EL LABORATORIO CLÍNICO</b:Title>
    <b:InternetSiteTitle>Instituto de Salud Publica Chile</b:InternetSiteTitle>
    <b:Year>2015</b:Year>
    <b:YearAccessed>2022</b:YearAccessed>
    <b:URL>https://www.ispch.cl/sites/default/files/Guia_Tecnica_Control_Calidad_Mediciones_Cuantitativas.pdf</b:URL>
    <b:RefOrder>2</b:RefOrder>
  </b:Source>
  <b:Source>
    <b:Tag>Wes18</b:Tag>
    <b:SourceType>InternetSite</b:SourceType>
    <b:Guid>{060B6D9F-7266-47B6-8076-714FEEFA9DAB}</b:Guid>
    <b:Author>
      <b:Author>
        <b:NameList>
          <b:Person>
            <b:Last>Westgard</b:Last>
            <b:First>James</b:First>
            <b:Middle>O.</b:Middle>
          </b:Person>
        </b:NameList>
      </b:Author>
    </b:Author>
    <b:Title>Prácticas Básicas de Control de Calidad 3era Edición</b:Title>
    <b:InternetSiteTitle>Capacitación en Control Estadístico de la Calidad para Laboratorios Clínicos</b:InternetSiteTitle>
    <b:Year>2018</b:Year>
    <b:YearAccessed>2022</b:YearAccessed>
    <b:URL>http://colbiosa.com.ar/wp-content/uploads/2018/08/Practicas-Basicas-de-Control-de-la-Calidad-James-Westgard-1.pdf</b:URL>
    <b:RefOrder>1</b:RefOrder>
  </b:Source>
  <b:Source>
    <b:Tag>Ter22</b:Tag>
    <b:SourceType>InternetSite</b:SourceType>
    <b:Guid>{0EC70ADD-42B4-4C52-B301-D824BA57447A}</b:Guid>
    <b:Author>
      <b:Author>
        <b:NameList>
          <b:Person>
            <b:Last>Terres Speziale</b:Last>
            <b:First>Arturo</b:First>
            <b:Middle>M.</b:Middle>
          </b:Person>
        </b:NameList>
      </b:Author>
    </b:Author>
    <b:Title>Sigma para el Control Calidad Analítico</b:Title>
    <b:InternetSiteTitle>Bioestadística Avanzada </b:InternetSiteTitle>
    <b:YearAccessed>2022</b:YearAccessed>
    <b:URL>http://www.qualitat.cc/sitebuildercontent/sitebuilderfiles/6S.estadistica.avanzada.pdf</b:URL>
    <b:RefOrder>3</b:RefOrder>
  </b:Source>
  <b:Source>
    <b:Tag>OPS05</b:Tag>
    <b:SourceType>InternetSite</b:SourceType>
    <b:Guid>{CB0EA966-9199-4E15-8C5E-42AB6F20CD2B}</b:Guid>
    <b:Author>
      <b:Author>
        <b:NameList>
          <b:Person>
            <b:Last>OPS</b:Last>
          </b:Person>
        </b:NameList>
      </b:Author>
    </b:Author>
    <b:Title>Manual de manetnimiento para equipos de laboratorio</b:Title>
    <b:InternetSiteTitle>OrganizaciónPanamericana de la Salud</b:InternetSiteTitle>
    <b:Year>2005</b:Year>
    <b:YearAccessed>2022</b:YearAccessed>
    <b:URL>https://www.exactas.unlp.edu.ar/uploads/docs/manual_de_mantenimiento.pdf</b:URL>
    <b:RefOrder>4</b:RefOrder>
  </b:Source>
  <b:Source>
    <b:Tag>Wie22</b:Tag>
    <b:SourceType>InternetSite</b:SourceType>
    <b:Guid>{ECA184D1-C2E5-4BC2-A842-3F2EF0A8BD7E}</b:Guid>
    <b:Author>
      <b:Author>
        <b:NameList>
          <b:Person>
            <b:Last>Wiener</b:Last>
          </b:Person>
        </b:NameList>
      </b:Author>
    </b:Author>
    <b:Title>Vademecum Urine Strip</b:Title>
    <b:YearAccessed>2022</b:YearAccessed>
    <b:URL>https://www.wiener-lab.com.ar/VademecumDocumentos/Vademecum%20espanol/urine_strip_sp.pdf</b:URL>
    <b:RefOrder>5</b:RefOrder>
  </b:Source>
  <b:Source>
    <b:Tag>Rod15</b:Tag>
    <b:SourceType>BookSection</b:SourceType>
    <b:Guid>{CDFC88C0-9486-4E97-BDC3-675E4A717A56}</b:Guid>
    <b:Title>Harper Bioquímica Ilustrada </b:Title>
    <b:InternetSiteTitle>Bioqímica Ilustrada - 30va Edición. Capítulo 52- pag 671</b:InternetSiteTitle>
    <b:Year>2015</b:Year>
    <b:YearAccessed>2022</b:YearAccessed>
    <b:Author>
      <b:Author>
        <b:NameList>
          <b:Person>
            <b:Last>Rodwell</b:Last>
            <b:First>V.</b:First>
            <b:Middle>et al</b:Middle>
          </b:Person>
        </b:NameList>
      </b:Author>
    </b:Author>
    <b:BookTitle>Bioquímica Ilustrada</b:BookTitle>
    <b:City>México</b:City>
    <b:Publisher>Mc Graw Hill Education</b:Publisher>
    <b:RefOrder>7</b:RefOrder>
  </b:Source>
  <b:Source>
    <b:Tag>Bis19</b:Tag>
    <b:SourceType>BookSection</b:SourceType>
    <b:Guid>{6FBD6A21-D1C5-4A41-805F-05E2A743DD04}</b:Guid>
    <b:Author>
      <b:Author>
        <b:NameList>
          <b:Person>
            <b:Last>Bishop</b:Last>
            <b:First>M</b:First>
            <b:Middle>et al</b:Middle>
          </b:Person>
        </b:NameList>
      </b:Author>
    </b:Author>
    <b:BookTitle>Química Clínica</b:BookTitle>
    <b:Year>2019</b:Year>
    <b:City>Philadelphia, PA 19103 </b:City>
    <b:Publisher>Wolters Kluwer</b:Publisher>
    <b:RefOrder>6</b:RefOrder>
  </b:Source>
  <b:Source>
    <b:Tag>Pér97</b:Tag>
    <b:SourceType>InternetSite</b:SourceType>
    <b:Guid>{7B8354EB-8647-4F7B-A57D-1382C7D3077A}</b:Guid>
    <b:Author>
      <b:Author>
        <b:NameList>
          <b:Person>
            <b:Last>Pérez</b:Last>
            <b:First>José</b:First>
            <b:Middle>Illnait</b:Middle>
          </b:Person>
        </b:NameList>
      </b:Author>
    </b:Author>
    <b:Title>La dislipidemia en el paciente diabético. Parte I:  Bioquímica patológica</b:Title>
    <b:InternetSiteTitle>Rev Cubana Med Gen Integr v.13 n.4 Ciudad de La Habana jul.-ago. 1997</b:InternetSiteTitle>
    <b:Year>1997</b:Year>
    <b:YearAccessed>2022</b:YearAccessed>
    <b:URL>http://scielo.sld.cu/scielo.php?script=sci_arttext&amp;pid=S0864-21251997000400010</b:URL>
    <b:RefOrder>8</b:RefOrder>
  </b:Source>
  <b:Source>
    <b:Tag>Ros21</b:Tag>
    <b:SourceType>InternetSite</b:SourceType>
    <b:Guid>{17E3DDE2-216F-484B-A308-4E7E06A53555}</b:Guid>
    <b:Author>
      <b:Author>
        <b:NameList>
          <b:Person>
            <b:Last>Rosenstein</b:Last>
            <b:First>Beryl</b:First>
            <b:Middle>J.</b:Middle>
          </b:Person>
        </b:NameList>
      </b:Author>
    </b:Author>
    <b:Title>Fibrosis quística</b:Title>
    <b:InternetSiteTitle>Manual MSD</b:InternetSiteTitle>
    <b:Year>2021</b:Year>
    <b:YearAccessed>2022</b:YearAccessed>
    <b:URL>https://www.msdmanuals.com/es-ar/hogar/salud-infantil/fibrosis-qu%C3%ADstica/fibrosis-qu%C3%ADstica</b:URL>
    <b:RefOrder>9</b:RefOrder>
  </b:Source>
  <b:Source>
    <b:Tag>Nog12</b:Tag>
    <b:SourceType>InternetSite</b:SourceType>
    <b:Guid>{DE324288-874B-4EAB-97F9-6B9D106BEE23}</b:Guid>
    <b:Author>
      <b:Author>
        <b:NameList>
          <b:Person>
            <b:Last>Nogueira Salgueiro</b:Last>
            <b:First>Patricia</b:First>
            <b:Middle>et al</b:Middle>
          </b:Person>
        </b:NameList>
      </b:Author>
    </b:Author>
    <b:Title>El Papel Del Laboratorio En La Rabdomiolisis</b:Title>
    <b:InternetSiteTitle>Editor: Asociación Española de Biopatología Médica</b:InternetSiteTitle>
    <b:Year>2012</b:Year>
    <b:YearAccessed>2022</b:YearAccessed>
    <b:URL>https://www.aebm.org/formacion%20distancia/distancia%202011-2012/Taller/MONOGRAFIAS%202011/1.-%20Rabdomiolisis.pdf</b:URL>
    <b:RefOrder>10</b:RefOrder>
  </b:Source>
  <b:Source>
    <b:Tag>Mat02</b:Tag>
    <b:SourceType>BookSection</b:SourceType>
    <b:Guid>{3349494F-73B9-45EE-8414-957B3E9080D2}</b:Guid>
    <b:Author>
      <b:Author>
        <b:NameList>
          <b:Person>
            <b:Last>Mathews</b:Last>
            <b:First>C.</b:First>
            <b:Middle>K.</b:Middle>
          </b:Person>
          <b:Person>
            <b:Last>Van Holde</b:Last>
            <b:First>K.</b:First>
            <b:Middle>E.</b:Middle>
          </b:Person>
          <b:Person>
            <b:Last>Ahern</b:Last>
            <b:First>K.</b:First>
            <b:Middle>G.</b:Middle>
          </b:Person>
        </b:NameList>
      </b:Author>
    </b:Author>
    <b:Title>Bioquímica</b:Title>
    <b:Year>2002</b:Year>
    <b:City>Estados Unidos de América</b:City>
    <b:Publisher>PEARSON EDUCACIÓN, S. A.</b:Publisher>
    <b:RefOrder>11</b:RefOrder>
  </b:Source>
  <b:Source>
    <b:Tag>Bra11</b:Tag>
    <b:SourceType>InternetSite</b:SourceType>
    <b:Guid>{A189831A-C11B-4F53-920E-F996A06BEB6C}</b:Guid>
    <b:Author>
      <b:Author>
        <b:NameList>
          <b:Person>
            <b:Last>Brandan</b:Last>
            <b:First>Nora</b:First>
            <b:Middle>C.et al</b:Middle>
          </b:Person>
        </b:NameList>
      </b:Author>
    </b:Author>
    <b:Title>Hormonas Hipotalámicas E Hipofisarias</b:Title>
    <b:InternetSiteTitle>Universidad Nacional del Noroeste</b:InternetSiteTitle>
    <b:Year>2011</b:Year>
    <b:YearAccessed>2022</b:YearAccessed>
    <b:URL>https://med.unne.edu.ar/sitio/multimedia/imagenes/ckfinder/files/files/Carrera-Medicina/BIOQUIMICA/hhh.pdf</b:URL>
    <b:RefOrder>12</b:RefOrder>
  </b:Source>
  <b:Source>
    <b:Tag>Mar22</b:Tag>
    <b:SourceType>InternetSite</b:SourceType>
    <b:Guid>{14320A2F-A522-4D50-9F86-AA54832E12B9}</b:Guid>
    <b:Title>Marcadores tumorales más comunes</b:Title>
    <b:InternetSiteTitle>Instituto Nacional de Cáncer</b:InternetSiteTitle>
    <b:Year>2022</b:Year>
    <b:YearAccessed>2022</b:YearAccessed>
    <b:URL>https://www.cancer.gov/espanol/cancer/diagnostico-estadificacion/diagnostico/lista-marcadores-tumorales#:~:text=Los%20marcadores%20tumorales%20son%20sustancias,afecciones%20benignas%20(no%20cancerosas).</b:URL>
    <b:Author>
      <b:Author>
        <b:NameList>
          <b:Person>
            <b:Last>NIH</b:Last>
          </b:Person>
        </b:NameList>
      </b:Author>
    </b:Author>
    <b:RefOrder>16</b:RefOrder>
  </b:Source>
  <b:Source>
    <b:Tag>Pue15</b:Tag>
    <b:SourceType>Book</b:SourceType>
    <b:Guid>{378AE596-5305-4F43-A686-E8E2548AFC8E}</b:Guid>
    <b:Author>
      <b:Author>
        <b:NameList>
          <b:Person>
            <b:Last>Puerta Jimenes</b:Last>
            <b:First>I.</b:First>
          </b:Person>
          <b:Person>
            <b:Last>Vicente Romero</b:Last>
            <b:First>M.</b:First>
          </b:Person>
        </b:NameList>
      </b:Author>
    </b:Author>
    <b:Title>Parasitología en el laboratorio</b:Title>
    <b:InternetSiteTitle>Guía Básica de diagnóstico</b:InternetSiteTitle>
    <b:Year>2015</b:Year>
    <b:City>Alicante España</b:City>
    <b:Publisher>Editorial Área de Innovación y Desarrollo,S.L.</b:Publisher>
    <b:RefOrder>17</b:RefOrder>
  </b:Source>
  <b:Source>
    <b:Tag>Esa14</b:Tag>
    <b:SourceType>InternetSite</b:SourceType>
    <b:Guid>{6FA8D006-52B9-4B68-86D2-ED816F9026EB}</b:Guid>
    <b:Author>
      <b:Author>
        <b:NameList>
          <b:Person>
            <b:Last>Esaú López-Jácome</b:Last>
            <b:First>Luis</b:First>
            <b:Middle>et al</b:Middle>
          </b:Person>
        </b:NameList>
      </b:Author>
    </b:Author>
    <b:Title>Las tinciones básicas en el laboratorio de microbiología</b:Title>
    <b:InternetSiteTitle>Laboratorio de Infectología,Vol. 3, Núm. 1</b:InternetSiteTitle>
    <b:Year>2014</b:Year>
    <b:YearAccessed>2022</b:YearAccessed>
    <b:URL>https://www.medigraphic.com/pdfs/invdis/ir-2014/ir141b.pdf</b:URL>
    <b:RefOrder>25</b:RefOrder>
  </b:Source>
  <b:Source>
    <b:Tag>Fer22</b:Tag>
    <b:SourceType>InternetSite</b:SourceType>
    <b:Guid>{0EB0954C-1B66-4BF3-8D4F-2230C0619DF1}</b:Guid>
    <b:Author>
      <b:Author>
        <b:NameList>
          <b:Person>
            <b:Last>Fernández Guerrero</b:Last>
            <b:First>M.</b:First>
            <b:Middle>et al</b:Middle>
          </b:Person>
        </b:NameList>
      </b:Author>
    </b:Author>
    <b:Title>Endocarditis e infecciones cardiovasculares. Protocolos Clínicos </b:Title>
    <b:InternetSiteTitle>Sociedad Española de Enfermedades Infecciosas  y Microbiología Clínica</b:InternetSiteTitle>
    <b:YearAccessed>2022</b:YearAccessed>
    <b:RefOrder>19</b:RefOrder>
  </b:Source>
  <b:Source>
    <b:Tag>Cer11</b:Tag>
    <b:SourceType>InternetSite</b:SourceType>
    <b:Guid>{2526E208-7C34-4507-9DEB-768B5C0D398E}</b:Guid>
    <b:Author>
      <b:Author>
        <b:NameList>
          <b:Person>
            <b:Last>Cercenado</b:Last>
            <b:First>Emilia</b:First>
          </b:Person>
          <b:Person>
            <b:Last>Cantón</b:Last>
            <b:First>Rafael</b:First>
          </b:Person>
        </b:NameList>
      </b:Author>
    </b:Author>
    <b:Title>Procedimientos en Microbiología Clínica</b:Title>
    <b:InternetSiteTitle>Recomendaciones de la Sociedad Española de Enfermedades ciones de la Sociedad Española de Enfermedades</b:InternetSiteTitle>
    <b:Year>2011</b:Year>
    <b:YearAccessed>2022</b:YearAccessed>
    <b:URL>https://www.seimc.org/contenidos/documentoscientificos/procedimientosmicrobiologia/seimc-procedimientomicrobiologia38.pdf</b:URL>
    <b:RefOrder>20</b:RefOrder>
  </b:Source>
  <b:Source>
    <b:Tag>ANM14</b:Tag>
    <b:SourceType>InternetSite</b:SourceType>
    <b:Guid>{CB640E7C-1990-4522-B751-5CBBD3C1D983}</b:Guid>
    <b:Author>
      <b:Author>
        <b:Corporate>ANMAT</b:Corporate>
      </b:Author>
    </b:Author>
    <b:Title>Análisis Microbiológico De Los Alimentos</b:Title>
    <b:InternetSiteTitle>Administración Nacional de Medicamentos, Alimentos  y Tecnología Médica </b:InternetSiteTitle>
    <b:Year>2014</b:Year>
    <b:YearAccessed>2022</b:YearAccessed>
    <b:URL>http://www.anmat.gov.ar/renaloa/docs/analisis_microbiologico_de_los_alimentos_vol_iii.pdf</b:URL>
    <b:RefOrder>21</b:RefOrder>
  </b:Source>
  <b:Source>
    <b:Tag>Lop22</b:Tag>
    <b:SourceType>InternetSite</b:SourceType>
    <b:Guid>{E321B2DB-96DE-4046-8F5A-1DCC465C373E}</b:Guid>
    <b:Author>
      <b:Author>
        <b:NameList>
          <b:Person>
            <b:Last>Lopardo</b:Last>
            <b:First>Horacio</b:First>
            <b:Middle>A.</b:Middle>
          </b:Person>
        </b:NameList>
      </b:Author>
    </b:Author>
    <b:Title>Cocos Gram Positivos Catalasa Negativos </b:Title>
    <b:InternetSiteTitle>Asociación Argentina  de Microbiología</b:InternetSiteTitle>
    <b:Year>2022</b:Year>
    <b:YearAccessed>2022</b:YearAccessed>
    <b:URL>https://www.aam.org.ar/descarga-archivos/ParteII.pdf</b:URL>
    <b:RefOrder>22</b:RefOrder>
  </b:Source>
  <b:Source>
    <b:Tag>Ver15</b:Tag>
    <b:SourceType>InternetSite</b:SourceType>
    <b:Guid>{FEFCA689-E82F-4D6B-8991-D6264EB7DBA1}</b:Guid>
    <b:Title>Las bacterias y la virulencia </b:Title>
    <b:InternetSiteTitle>Las Infecciones bacterianas y el laboratorio de Bacteriología - Segunda Edición - Universidad Nacional De Misiones</b:InternetSiteTitle>
    <b:Year>2015</b:Year>
    <b:YearAccessed>2022</b:YearAccessed>
    <b:URL>https://editorial.unam.edu.ar/images/documentos_digitales/d41_978-950-579-399-0.pdf</b:URL>
    <b:Author>
      <b:Author>
        <b:NameList>
          <b:Person>
            <b:Last>Vergara</b:Last>
            <b:First>Marta</b:First>
            <b:Middle>et al</b:Middle>
          </b:Person>
        </b:NameList>
      </b:Author>
    </b:Author>
    <b:RefOrder>23</b:RefOrder>
  </b:Source>
  <b:Source>
    <b:Tag>OMS09</b:Tag>
    <b:SourceType>InternetSite</b:SourceType>
    <b:Guid>{4D3FFA6F-2553-4994-A329-5551E5F2EC26}</b:Guid>
    <b:Author>
      <b:Author>
        <b:Corporate>OMS</b:Corporate>
      </b:Author>
    </b:Author>
    <b:Title>Manual de Laboratorio para la identificación y prueba de suceptibilidad a los antimicrobianos de patógenos bacterianos de importancia para la Salud Pública en el mundo en desarrollo</b:Title>
    <b:InternetSiteTitle>Utilización de carbohidratos para algunas especies. Medicina y laboratorio, Volumen 15- Números 3 y 4  </b:InternetSiteTitle>
    <b:Year>2009</b:Year>
    <b:YearAccessed>2022</b:YearAccessed>
    <b:URL>https://www.medigraphic.com/pdfs/medlab/myl-2009/myl093-4d.pdf</b:URL>
    <b:RefOrder>24</b:RefOrder>
  </b:Source>
  <b:Source>
    <b:Tag>Bro14</b:Tag>
    <b:SourceType>InternetSite</b:SourceType>
    <b:Guid>{A1F2AAA7-0BCC-4F9C-9DB6-D9D76D974AE5}</b:Guid>
    <b:Author>
      <b:Author>
        <b:Corporate>Brooks, G.F.; Carroll,  K.C.; Butel, J.S.; Morse,  S.A.; Mietzner,T.A.</b:Corporate>
      </b:Author>
    </b:Author>
    <b:Title>Microbiología médica  McGraw Hill.</b:Title>
    <b:InternetSiteTitle>https://accessmedicina.mhmedical.com/book.aspx?bookid=1507#102890124</b:InternetSiteTitle>
    <b:Year>2014</b:Year>
    <b:YearAccessed>2022</b:YearAccessed>
    <b:MonthAccessed>06</b:MonthAccessed>
    <b:DayAccessed>17</b:DayAccessed>
    <b:URL>https://accessmedicina.mhmedical.com/book.aspx?bookid=1507</b:URL>
    <b:RefOrder>27</b:RefOrder>
  </b:Source>
  <b:Source>
    <b:Tag>Vel08</b:Tag>
    <b:SourceType>InternetSite</b:SourceType>
    <b:Guid>{B3B4E337-B90A-4D01-8636-135FE253F8A0}</b:Guid>
    <b:Author>
      <b:Author>
        <b:Corporate>Velazco, Judith et al</b:Corporate>
      </b:Author>
    </b:Author>
    <b:InternetSiteTitle>Manual Práctico de bacteriología clínica. Vicerrectorado académico CODEPRE</b:InternetSiteTitle>
    <b:Year>2008</b:Year>
    <b:YearAccessed>2022</b:YearAccessed>
    <b:MonthAccessed>06</b:MonthAccessed>
    <b:DayAccessed>17</b:DayAccessed>
    <b:URL>http://www.serbi.ula.ve/serbiula/librose/pva/Libros%20de%20PVA%20para%20libro%20digital/Manual%20de%20Bacteriologia.pdf</b:URL>
    <b:RefOrder>26</b:RefOrder>
  </b:Source>
  <b:Source>
    <b:Tag>Min191</b:Tag>
    <b:SourceType>InternetSite</b:SourceType>
    <b:Guid>{E3A6B3E9-1F2E-431F-A708-AEF6A941C940}</b:Guid>
    <b:Title>Diagnóstico y tratamiento de sífilis.Recomendaciones para equipos de salud</b:Title>
    <b:Year>2019</b:Year>
    <b:Author>
      <b:Author>
        <b:Corporate>Ministerio de Salud Nación</b:Corporate>
      </b:Author>
    </b:Author>
    <b:YearAccessed>2022</b:YearAccessed>
    <b:URL>https://bancos.salud.gob.ar/recurso/diagnostico-y-tratamiento-de-sifilis-recomendaciones-para-equipos-de-salud</b:URL>
    <b:RefOrder>28</b:RefOrder>
  </b:Source>
  <b:Source>
    <b:Tag>Bra15</b:Tag>
    <b:SourceType>InternetSite</b:SourceType>
    <b:Guid>{2EBB3A0B-BBE3-4BDC-8A49-F822B672FF8D}</b:Guid>
    <b:Author>
      <b:Author>
        <b:NameList>
          <b:Person>
            <b:Last>Bracho-Nava</b:Last>
            <b:First>M</b:First>
            <b:Middle>et al</b:Middle>
          </b:Person>
        </b:NameList>
      </b:Author>
    </b:Author>
    <b:Title> Hemoglobina glicosilada o hemoglobina glicada ¿cuál de las dos?. SABER.</b:Title>
    <b:Year>2015</b:Year>
    <b:YearAccessed>2022</b:YearAccessed>
    <b:URL>https://www.redalyc.org/pdf/4277/427744808002.pdf</b:URL>
    <b:RefOrder>14</b:RefOrder>
  </b:Source>
  <b:Source>
    <b:Tag>Uni221</b:Tag>
    <b:SourceType>InternetSite</b:SourceType>
    <b:Guid>{222D1F16-A78F-4D10-A095-E53BB368CD0C}</b:Guid>
    <b:Title>Unidades de Monitoreo Ambulatorio de SARS CoV-2 y OVR (UMAs)</b:Title>
    <b:YearAccessed>2022</b:YearAccessed>
    <b:URL>https://www.mendoza.gov.ar/wp-content/uploads/sites/7/2022/04/Unidades-de-Monitoreo-de-SARS-CoV-2-y-Otros-Virus-Respiratorios.pdf </b:URL>
    <b:RefOrder>29</b:RefOrder>
  </b:Source>
  <b:Source>
    <b:Tag>Ame21</b:Tag>
    <b:SourceType>InternetSite</b:SourceType>
    <b:Guid>{9D0CC3B2-EB56-4684-8EB5-5C2E438F9071}</b:Guid>
    <b:Title>Standards of Medical Care in Diabetes 2021.</b:Title>
    <b:Year>2021</b:Year>
    <b:YearAccessed>2022</b:YearAccessed>
    <b:MonthAccessed>06</b:MonthAccessed>
    <b:DayAccessed>21</b:DayAccessed>
    <b:URL>https://www.fipec.net/wp-content/uploads/2021/04/ADA-Standards-of-Medical-Care-Diabetes-Care-2021.pdf</b:URL>
    <b:Author>
      <b:Author>
        <b:Corporate>American Diabetes Association</b:Corporate>
      </b:Author>
    </b:Author>
    <b:InternetSiteTitle> Diabetes</b:InternetSiteTitle>
    <b:RefOrder>13</b:RefOrder>
  </b:Source>
  <b:Source>
    <b:Tag>Asp14</b:Tag>
    <b:SourceType>InternetSite</b:SourceType>
    <b:Guid>{E429AA07-8590-4520-BC33-A8B9A0487A11}</b:Guid>
    <b:Title>Aspectos Relevantes De La Enterobiosis Humana. Revisión</b:Title>
    <b:InternetSiteTitle>Revista Multidisciplinaria del Consejo de Investigación de la Universidad de Oriente</b:InternetSiteTitle>
    <b:Year>2014</b:Year>
    <b:YearAccessed>2022</b:YearAccessed>
    <b:URL>https://www.redalyc.org/articulo.oa?id=427739473002</b:URL>
    <b:Author>
      <b:Author>
        <b:Corporate>Cazorla-Perfett, Dalmiro</b:Corporate>
      </b:Author>
    </b:Author>
    <b:RefOrder>18</b:RefOrder>
  </b:Source>
  <b:Source>
    <b:Tag>FED18</b:Tag>
    <b:SourceType>InternetSite</b:SourceType>
    <b:Guid>{E808F489-312E-4690-A59D-E851483EA7F8}</b:Guid>
    <b:Title>Consenso Argentino en Hipertensión Arterial</b:Title>
    <b:Year>2018</b:Year>
    <b:YearAccessed>2022</b:YearAccessed>
    <b:URL>https://www.fac.org.ar/cientifica/guias/pdf/Consenso-HTA%202018.pdf</b:URL>
    <b:Author>
      <b:Author>
        <b:Corporate>SAC</b:Corporate>
      </b:Author>
    </b:Author>
    <b:InternetSiteTitle>Federación Argentina De Cardiología - Sociedad Argentina de Cardiología</b:InternetSiteTitle>
    <b:RefOrder>15</b:RefOrder>
  </b:Source>
</b:Sources>
</file>

<file path=customXml/itemProps1.xml><?xml version="1.0" encoding="utf-8"?>
<ds:datastoreItem xmlns:ds="http://schemas.openxmlformats.org/officeDocument/2006/customXml" ds:itemID="{A8623F68-4416-440D-B1C7-0B5C560F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2022-07-06T12:17:00Z</dcterms:created>
  <dcterms:modified xsi:type="dcterms:W3CDTF">2022-07-06T12:17:00Z</dcterms:modified>
</cp:coreProperties>
</file>